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7284B" w14:textId="77777777" w:rsidR="00BF295F" w:rsidRPr="007010AE" w:rsidRDefault="00BF295F"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it-IT"/>
        </w:rPr>
      </w:pPr>
      <w:proofErr w:type="spellStart"/>
      <w:r w:rsidRPr="007010AE">
        <w:rPr>
          <w:rFonts w:cstheme="minorHAnsi"/>
          <w:b/>
        </w:rPr>
        <w:t>Sicherheit</w:t>
      </w:r>
      <w:proofErr w:type="spellEnd"/>
      <w:r w:rsidRPr="007010AE">
        <w:rPr>
          <w:rFonts w:cstheme="minorHAnsi"/>
          <w:b/>
        </w:rPr>
        <w:t xml:space="preserve"> und </w:t>
      </w:r>
      <w:proofErr w:type="spellStart"/>
      <w:r w:rsidRPr="007010AE">
        <w:rPr>
          <w:rFonts w:cstheme="minorHAnsi"/>
          <w:b/>
        </w:rPr>
        <w:t>Handhabung</w:t>
      </w:r>
      <w:proofErr w:type="spellEnd"/>
      <w:r w:rsidRPr="007010AE">
        <w:rPr>
          <w:rFonts w:cstheme="minorHAnsi"/>
          <w:lang w:val="it-IT"/>
        </w:rPr>
        <w:t xml:space="preserve"> </w:t>
      </w:r>
    </w:p>
    <w:p w14:paraId="64D17C2C" w14:textId="012ACBF3" w:rsidR="00015C98" w:rsidRPr="007010AE" w:rsidRDefault="00BF295F"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7010AE">
        <w:rPr>
          <w:rFonts w:cstheme="minorHAnsi"/>
          <w:lang w:val="de-CH"/>
        </w:rPr>
        <w:t>Der Nuheara IQstream Fernseher ist ausschließlich für den Gebrauch in Gebäuden vorgesehen.</w:t>
      </w:r>
    </w:p>
    <w:p w14:paraId="67C76D0F" w14:textId="77777777" w:rsidR="00BF295F" w:rsidRPr="007010AE" w:rsidRDefault="00BF295F"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de-CH"/>
        </w:rPr>
      </w:pPr>
      <w:r w:rsidRPr="007010AE">
        <w:rPr>
          <w:rFonts w:cstheme="minorHAnsi"/>
          <w:lang w:val="de-CH"/>
        </w:rPr>
        <w:t xml:space="preserve">Für einen sicheren Betrieb das Gerät nicht in Flüssigkeiten tauchen.  </w:t>
      </w:r>
    </w:p>
    <w:p w14:paraId="677CAEA6" w14:textId="7639140A" w:rsidR="006421E2" w:rsidRPr="007010AE" w:rsidRDefault="00BF295F"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7010AE">
        <w:rPr>
          <w:rFonts w:cstheme="minorHAnsi"/>
          <w:lang w:val="de-CH"/>
        </w:rPr>
        <w:t>Am Ende seiner Lebensdauer geben Sie den Nuheara IQstream Fernseher bei einer Sammelstelle für Batterien / Elektroschrott ab</w:t>
      </w:r>
      <w:r w:rsidR="006421E2" w:rsidRPr="007010AE">
        <w:rPr>
          <w:rFonts w:cstheme="minorHAnsi"/>
          <w:lang w:val="it-IT"/>
        </w:rPr>
        <w:t>.</w:t>
      </w:r>
      <w:r w:rsidR="006421E2" w:rsidRPr="007010AE">
        <w:rPr>
          <w:rFonts w:cstheme="minorHAnsi"/>
          <w:lang w:val="es-ES"/>
        </w:rPr>
        <w:t xml:space="preserve"> </w:t>
      </w:r>
    </w:p>
    <w:p w14:paraId="2F48C72C" w14:textId="4298ECE0" w:rsidR="006421E2" w:rsidRPr="007010AE" w:rsidRDefault="00BF295F" w:rsidP="006421E2">
      <w:pPr>
        <w:pStyle w:val="1"/>
        <w:rPr>
          <w:rFonts w:asciiTheme="minorHAnsi" w:hAnsiTheme="minorHAnsi" w:cstheme="minorHAnsi"/>
          <w:sz w:val="22"/>
          <w:szCs w:val="22"/>
          <w:lang w:val="de-CH"/>
        </w:rPr>
      </w:pPr>
      <w:r w:rsidRPr="007010AE">
        <w:rPr>
          <w:rFonts w:asciiTheme="minorHAnsi" w:hAnsiTheme="minorHAnsi" w:cstheme="minorHAnsi"/>
          <w:sz w:val="22"/>
          <w:szCs w:val="22"/>
          <w:lang w:val="de-CH"/>
        </w:rPr>
        <w:t>Die Nennspannung des IQstream Fernseher-Geräts ist 4.40V bis 5.25V</w:t>
      </w:r>
    </w:p>
    <w:p w14:paraId="7FC42DBB" w14:textId="77777777" w:rsidR="00BF295F" w:rsidRPr="007010AE" w:rsidRDefault="00BF295F" w:rsidP="006421E2">
      <w:pPr>
        <w:pStyle w:val="1"/>
        <w:rPr>
          <w:rFonts w:asciiTheme="minorHAnsi" w:hAnsiTheme="minorHAnsi" w:cstheme="minorHAnsi"/>
          <w:sz w:val="22"/>
          <w:szCs w:val="22"/>
          <w:lang w:val="it-IT"/>
        </w:rPr>
      </w:pPr>
    </w:p>
    <w:p w14:paraId="7835E84E" w14:textId="4638AED1" w:rsidR="006421E2" w:rsidRPr="007010AE" w:rsidRDefault="00BF295F" w:rsidP="006421E2">
      <w:pPr>
        <w:pStyle w:val="1"/>
        <w:rPr>
          <w:rFonts w:asciiTheme="minorHAnsi" w:hAnsiTheme="minorHAnsi" w:cstheme="minorHAnsi"/>
          <w:sz w:val="22"/>
          <w:szCs w:val="22"/>
          <w:lang w:val="de-CH"/>
        </w:rPr>
      </w:pPr>
      <w:r w:rsidRPr="007010AE">
        <w:rPr>
          <w:rFonts w:asciiTheme="minorHAnsi" w:hAnsiTheme="minorHAnsi" w:cstheme="minorHAnsi"/>
          <w:sz w:val="22"/>
          <w:szCs w:val="22"/>
          <w:lang w:val="de-CH"/>
        </w:rPr>
        <w:t xml:space="preserve">Für Unterstützung und Problemlösung besuchen Sie </w:t>
      </w:r>
      <w:r w:rsidRPr="007010AE">
        <w:rPr>
          <w:rFonts w:asciiTheme="minorHAnsi" w:hAnsiTheme="minorHAnsi" w:cstheme="minorHAnsi"/>
          <w:sz w:val="22"/>
          <w:szCs w:val="22"/>
          <w:lang w:val="de-CH"/>
        </w:rPr>
        <w:fldChar w:fldCharType="begin"/>
      </w:r>
      <w:r w:rsidRPr="007010AE">
        <w:rPr>
          <w:rFonts w:asciiTheme="minorHAnsi" w:hAnsiTheme="minorHAnsi" w:cstheme="minorHAnsi"/>
          <w:sz w:val="22"/>
          <w:szCs w:val="22"/>
          <w:lang w:val="de-CH"/>
        </w:rPr>
        <w:instrText xml:space="preserve"> HYPERLINK "http://</w:instrText>
      </w:r>
      <w:r w:rsidRPr="007010AE">
        <w:rPr>
          <w:rFonts w:asciiTheme="minorHAnsi" w:hAnsiTheme="minorHAnsi" w:cstheme="minorHAnsi"/>
          <w:sz w:val="22"/>
          <w:szCs w:val="22"/>
          <w:lang w:val="de-CH"/>
        </w:rPr>
        <w:instrText>www.nuheara.com/support</w:instrText>
      </w:r>
      <w:r w:rsidRPr="007010AE">
        <w:rPr>
          <w:rFonts w:asciiTheme="minorHAnsi" w:hAnsiTheme="minorHAnsi" w:cstheme="minorHAnsi"/>
          <w:sz w:val="22"/>
          <w:szCs w:val="22"/>
          <w:lang w:val="de-CH"/>
        </w:rPr>
        <w:instrText xml:space="preserve">" </w:instrText>
      </w:r>
      <w:r w:rsidRPr="007010AE">
        <w:rPr>
          <w:rFonts w:asciiTheme="minorHAnsi" w:hAnsiTheme="minorHAnsi" w:cstheme="minorHAnsi"/>
          <w:sz w:val="22"/>
          <w:szCs w:val="22"/>
          <w:lang w:val="de-CH"/>
        </w:rPr>
        <w:fldChar w:fldCharType="separate"/>
      </w:r>
      <w:r w:rsidRPr="007010AE">
        <w:rPr>
          <w:rStyle w:val="Hyperlink"/>
          <w:rFonts w:asciiTheme="minorHAnsi" w:hAnsiTheme="minorHAnsi" w:cstheme="minorHAnsi"/>
          <w:sz w:val="22"/>
          <w:szCs w:val="22"/>
          <w:lang w:val="de-CH"/>
        </w:rPr>
        <w:t>www.nuheara.com/support</w:t>
      </w:r>
      <w:r w:rsidRPr="007010AE">
        <w:rPr>
          <w:rFonts w:asciiTheme="minorHAnsi" w:hAnsiTheme="minorHAnsi" w:cstheme="minorHAnsi"/>
          <w:sz w:val="22"/>
          <w:szCs w:val="22"/>
          <w:lang w:val="de-CH"/>
        </w:rPr>
        <w:fldChar w:fldCharType="end"/>
      </w:r>
    </w:p>
    <w:p w14:paraId="6F2FB3FC" w14:textId="77777777" w:rsidR="00BF295F" w:rsidRPr="007010AE" w:rsidRDefault="00BF295F" w:rsidP="006421E2">
      <w:pPr>
        <w:pStyle w:val="1"/>
        <w:rPr>
          <w:rFonts w:asciiTheme="minorHAnsi" w:hAnsiTheme="minorHAnsi" w:cstheme="minorHAnsi"/>
          <w:sz w:val="22"/>
          <w:szCs w:val="22"/>
        </w:rPr>
      </w:pPr>
    </w:p>
    <w:p w14:paraId="5E599885" w14:textId="77777777" w:rsidR="006421E2" w:rsidRPr="007010AE" w:rsidRDefault="006421E2" w:rsidP="006421E2">
      <w:pPr>
        <w:pStyle w:val="1"/>
        <w:rPr>
          <w:rFonts w:asciiTheme="minorHAnsi" w:hAnsiTheme="minorHAnsi" w:cstheme="minorHAnsi"/>
          <w:sz w:val="22"/>
          <w:szCs w:val="22"/>
        </w:rPr>
      </w:pPr>
    </w:p>
    <w:p w14:paraId="095FC7D4" w14:textId="002DDCF2" w:rsidR="006421E2" w:rsidRPr="007010AE" w:rsidRDefault="00373783"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7010AE">
        <w:rPr>
          <w:rFonts w:cstheme="minorHAnsi"/>
          <w:b/>
          <w:lang w:val="de-CH"/>
        </w:rPr>
        <w:t>Information für Verbraucher über die Abfallentsorgung von elektrischen und elektronischen Geräten (WEEE)</w:t>
      </w:r>
    </w:p>
    <w:p w14:paraId="5F1FF304" w14:textId="158A89ED" w:rsidR="006421E2" w:rsidRPr="007010AE" w:rsidRDefault="009871AA" w:rsidP="006421E2">
      <w:pPr>
        <w:pStyle w:val="1"/>
        <w:rPr>
          <w:rFonts w:asciiTheme="minorHAnsi" w:hAnsiTheme="minorHAnsi" w:cstheme="minorHAnsi"/>
          <w:sz w:val="22"/>
          <w:szCs w:val="22"/>
          <w:lang w:val="it-IT"/>
        </w:rPr>
      </w:pPr>
      <w:r w:rsidRPr="007010AE">
        <w:rPr>
          <w:rFonts w:asciiTheme="minorHAnsi" w:hAnsiTheme="minorHAnsi" w:cstheme="minorHAnsi"/>
          <w:sz w:val="22"/>
          <w:szCs w:val="22"/>
          <w:lang w:val="de-CH"/>
        </w:rPr>
        <w:t>Gebrauchte elektrische und elektronische Geräte sollten nicht mit dem allgemeinen Haushaltskehricht zusammen entsorgt werden. Für die fachgerechte Behandlung, Reparatur und Recycling nehmen Sie bitte dieses Produkt zu den bezeichneten Sammelstellen, wo es unentgeltlich entgegen genommen wird.</w:t>
      </w:r>
    </w:p>
    <w:p w14:paraId="0A907287" w14:textId="77777777" w:rsidR="009871AA" w:rsidRPr="007010AE" w:rsidRDefault="009871AA"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it-IT"/>
        </w:rPr>
      </w:pPr>
    </w:p>
    <w:p w14:paraId="54EB3E43" w14:textId="7E9E2F3A" w:rsidR="00015C98" w:rsidRPr="007010AE" w:rsidRDefault="009871AA"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7010AE">
        <w:rPr>
          <w:rFonts w:cstheme="minorHAnsi"/>
          <w:lang w:val="de-CH"/>
        </w:rPr>
        <w:t>Als Alternative ist es in einigen Ländern möglich, beim Kauf eines entsprechenden neuen Produkts Ihre Geräte an Ihren lokalen Detailhändler zurück zu geben</w:t>
      </w:r>
      <w:r w:rsidR="00015C98" w:rsidRPr="007010AE">
        <w:rPr>
          <w:rFonts w:cstheme="minorHAnsi"/>
          <w:lang w:val="es-ES"/>
        </w:rPr>
        <w:t>.</w:t>
      </w:r>
    </w:p>
    <w:p w14:paraId="24B52A05" w14:textId="0331A2E7" w:rsidR="00765A30" w:rsidRPr="007010AE" w:rsidRDefault="009871AA" w:rsidP="00765A30">
      <w:pPr>
        <w:pStyle w:val="1"/>
        <w:rPr>
          <w:rFonts w:asciiTheme="minorHAnsi" w:hAnsiTheme="minorHAnsi" w:cstheme="minorHAnsi"/>
          <w:sz w:val="22"/>
          <w:szCs w:val="22"/>
          <w:lang w:val="it-IT"/>
        </w:rPr>
      </w:pPr>
      <w:r w:rsidRPr="007010AE">
        <w:rPr>
          <w:rFonts w:asciiTheme="minorHAnsi" w:hAnsiTheme="minorHAnsi" w:cstheme="minorHAnsi"/>
          <w:sz w:val="22"/>
          <w:szCs w:val="22"/>
          <w:lang w:val="de-CH"/>
        </w:rPr>
        <w:t>Die korrekte Entsorgung dieses Geräts hilft dabei, wertvolle Ressourcen zu sparen und vermeidet mögliche negative Auswirkungen auf die menschliche Gesundheit und die Umwelt, die anderenfalls durch eine ungeeignete Abfallhandhabung entstehen könnten.</w:t>
      </w:r>
    </w:p>
    <w:p w14:paraId="6D4C9FA7" w14:textId="77777777" w:rsidR="00765A30" w:rsidRPr="007010AE" w:rsidRDefault="00765A30"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p>
    <w:p w14:paraId="2F868BB5" w14:textId="77777777" w:rsidR="009871AA" w:rsidRPr="007010AE" w:rsidRDefault="009871AA" w:rsidP="0001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de-CH"/>
        </w:rPr>
      </w:pPr>
      <w:r w:rsidRPr="007010AE">
        <w:rPr>
          <w:rFonts w:cstheme="minorHAnsi"/>
          <w:lang w:val="de-CH"/>
        </w:rPr>
        <w:t>Bitte kontaktieren Sie Ihre lokale Behörde für weitere Einzelheiten Ihrer nächstgelegenen bezeichneten Sammelstelle.</w:t>
      </w:r>
    </w:p>
    <w:p w14:paraId="202DCF0B" w14:textId="34DEAFA8" w:rsidR="00765A30" w:rsidRPr="007010AE" w:rsidRDefault="009871AA" w:rsidP="0001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7010AE">
        <w:rPr>
          <w:rFonts w:cstheme="minorHAnsi"/>
          <w:lang w:val="de-CH"/>
        </w:rPr>
        <w:t>Für die nicht korrekte Entsorgung dieses Abfalls können, in Übereinstimmung mit Ihrer nationalen Gesetzgebung, Strafen anwendbar sein.</w:t>
      </w:r>
    </w:p>
    <w:p w14:paraId="0DCF0726" w14:textId="72C62006" w:rsidR="009871AA" w:rsidRDefault="009871AA" w:rsidP="009871AA">
      <w:pPr>
        <w:pStyle w:val="1"/>
        <w:rPr>
          <w:rFonts w:asciiTheme="minorHAnsi" w:hAnsiTheme="minorHAnsi" w:cstheme="minorHAnsi"/>
          <w:b/>
          <w:sz w:val="22"/>
          <w:szCs w:val="22"/>
          <w:lang w:val="de-CH"/>
        </w:rPr>
      </w:pPr>
      <w:r w:rsidRPr="007010AE">
        <w:rPr>
          <w:rFonts w:asciiTheme="minorHAnsi" w:hAnsiTheme="minorHAnsi" w:cstheme="minorHAnsi"/>
          <w:b/>
          <w:sz w:val="22"/>
          <w:szCs w:val="22"/>
          <w:lang w:val="de-CH"/>
        </w:rPr>
        <w:t>Zusammenfassung der Nuheara IQstream Fernseher Garantie</w:t>
      </w:r>
    </w:p>
    <w:p w14:paraId="35C77453" w14:textId="77777777" w:rsidR="007010AE" w:rsidRPr="007010AE" w:rsidRDefault="007010AE" w:rsidP="009871AA">
      <w:pPr>
        <w:pStyle w:val="1"/>
        <w:rPr>
          <w:rFonts w:asciiTheme="minorHAnsi" w:hAnsiTheme="minorHAnsi" w:cstheme="minorHAnsi"/>
          <w:sz w:val="22"/>
          <w:szCs w:val="22"/>
          <w:lang w:val="de-CH"/>
        </w:rPr>
      </w:pPr>
      <w:bookmarkStart w:id="0" w:name="_GoBack"/>
      <w:bookmarkEnd w:id="0"/>
    </w:p>
    <w:p w14:paraId="4B930513" w14:textId="4EFAD7A6" w:rsidR="00015C98" w:rsidRPr="007010AE" w:rsidRDefault="009871AA"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7010AE">
        <w:rPr>
          <w:rFonts w:cstheme="minorHAnsi"/>
          <w:lang w:val="de-CH"/>
        </w:rPr>
        <w:t xml:space="preserve">Unsere Produkte tragen eine Gewährleistung für Material- und Arbeitsschäden während der Garantiedauer ab dem Datum des ursprünglichen Kaufs im Detailhandel (sofern bei einem Autorisierten Nuheara-Verkäufer gekauft) oder ab dem Datum des Kaufs, wenn auf der Webseite von Nuheara erfolgte, </w:t>
      </w:r>
      <w:hyperlink r:id="rId9" w:history="1">
        <w:r w:rsidRPr="007010AE">
          <w:rPr>
            <w:rStyle w:val="Hyperlink"/>
            <w:rFonts w:cstheme="minorHAnsi"/>
            <w:lang w:val="de-CH"/>
          </w:rPr>
          <w:t>www.nuheara.com</w:t>
        </w:r>
      </w:hyperlink>
      <w:r w:rsidRPr="007010AE">
        <w:rPr>
          <w:rFonts w:cstheme="minorHAnsi"/>
          <w:lang w:val="de-CH"/>
        </w:rPr>
        <w:t xml:space="preserve"> </w:t>
      </w:r>
      <w:r w:rsidRPr="007010AE">
        <w:rPr>
          <w:rFonts w:cstheme="minorHAnsi"/>
          <w:lang w:val="de-CH"/>
        </w:rPr>
        <w:t xml:space="preserve"> sofern sie in Übereinstimmung mit der anwendbaren Gebrauchsdokumentation gebraucht wurden.</w:t>
      </w:r>
    </w:p>
    <w:p w14:paraId="788D69AC" w14:textId="4654DCC0" w:rsidR="00765A30" w:rsidRPr="007010AE" w:rsidRDefault="009871AA"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7010AE">
        <w:rPr>
          <w:rFonts w:cstheme="minorHAnsi"/>
          <w:lang w:val="de-CH"/>
        </w:rPr>
        <w:t>Die Garantiedauer beträgt ein Jahr, oder die Minimaldauer, die durch die zwingenden Bestimmungen, welche durch das Verkaufsland festgelegt wurden, vorgesehen sind</w:t>
      </w:r>
      <w:r w:rsidRPr="007010AE">
        <w:rPr>
          <w:rFonts w:cstheme="minorHAnsi"/>
          <w:lang w:val="de-CH"/>
        </w:rPr>
        <w:t>.</w:t>
      </w:r>
    </w:p>
    <w:p w14:paraId="6CE461D5" w14:textId="77777777" w:rsidR="009871AA" w:rsidRPr="007010AE" w:rsidRDefault="009871AA" w:rsidP="009871AA">
      <w:pPr>
        <w:pStyle w:val="1"/>
        <w:rPr>
          <w:rFonts w:asciiTheme="minorHAnsi" w:hAnsiTheme="minorHAnsi" w:cstheme="minorHAnsi"/>
          <w:sz w:val="22"/>
          <w:szCs w:val="22"/>
          <w:lang w:val="de-CH"/>
        </w:rPr>
      </w:pPr>
      <w:r w:rsidRPr="007010AE">
        <w:rPr>
          <w:rFonts w:asciiTheme="minorHAnsi" w:hAnsiTheme="minorHAnsi" w:cstheme="minorHAnsi"/>
          <w:sz w:val="22"/>
          <w:szCs w:val="22"/>
          <w:lang w:val="de-CH"/>
        </w:rPr>
        <w:t>Wird das Produkt umgetauscht, wird das Ersatzprodukt zu Ihrem Eigentum und das Produkt wird zum Eigentum von Nuheara. Bei einer Rückerstattung wird das Produkt zum Eigentum von Nuheara.</w:t>
      </w:r>
    </w:p>
    <w:p w14:paraId="247B0751" w14:textId="77777777" w:rsidR="009871AA" w:rsidRPr="007010AE" w:rsidRDefault="009871AA"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it-IT"/>
        </w:rPr>
      </w:pPr>
    </w:p>
    <w:p w14:paraId="77C5D488" w14:textId="5DF1A3AC" w:rsidR="00015C98" w:rsidRPr="007010AE" w:rsidRDefault="009871AA"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7010AE">
        <w:rPr>
          <w:rFonts w:cstheme="minorHAnsi"/>
          <w:lang w:val="de-CH"/>
        </w:rPr>
        <w:t>Diese Garantie schließt Schäden aus, die infolge von normalem oder unsachgemäßem Gebrauch, von Transportschäden oder infolge nicht weisungsgemäßen Gebrauchs des Produkts entstehen. Diese Garantie wird bei einer nicht gestatteten Reparatur oder Veränderung, oder bei Entfernen oder Unleserlichmachen der Produktkennzeichnung hinfällig.</w:t>
      </w:r>
    </w:p>
    <w:p w14:paraId="24D1804B" w14:textId="77777777" w:rsidR="009871AA" w:rsidRPr="007010AE" w:rsidRDefault="009871AA" w:rsidP="006E579B">
      <w:pPr>
        <w:pStyle w:val="1"/>
        <w:rPr>
          <w:rFonts w:asciiTheme="minorHAnsi" w:hAnsiTheme="minorHAnsi" w:cstheme="minorHAnsi"/>
          <w:sz w:val="22"/>
          <w:szCs w:val="22"/>
          <w:lang w:val="de-CH"/>
        </w:rPr>
      </w:pPr>
      <w:r w:rsidRPr="007010AE">
        <w:rPr>
          <w:rFonts w:asciiTheme="minorHAnsi" w:hAnsiTheme="minorHAnsi" w:cstheme="minorHAnsi"/>
          <w:sz w:val="22"/>
          <w:szCs w:val="22"/>
          <w:lang w:val="de-CH"/>
        </w:rPr>
        <w:t xml:space="preserve">Abgesehen vom durch anwendbares Landesrecht ausgeschlossenen Umfang ist Nuheara nicht für Folge-, zufällige, direkte oder spezifische Schäden, welche direkt oder indirekt im Hinblick auf diese Produkte, oder </w:t>
      </w:r>
      <w:r w:rsidRPr="007010AE">
        <w:rPr>
          <w:rFonts w:asciiTheme="minorHAnsi" w:hAnsiTheme="minorHAnsi" w:cstheme="minorHAnsi"/>
          <w:sz w:val="22"/>
          <w:szCs w:val="22"/>
          <w:lang w:val="de-CH"/>
        </w:rPr>
        <w:lastRenderedPageBreak/>
        <w:t>infolge deren Gebrauchs oder Nichtgebrauchs, sei es aufgrund von Garantieverletzung, Fahrlässigkeit, Gefährdungshaftung, unerlaubter Handlung oder anderweitig entstehen, haftbar.</w:t>
      </w:r>
    </w:p>
    <w:p w14:paraId="18356FD1" w14:textId="77777777" w:rsidR="009871AA" w:rsidRPr="007010AE" w:rsidRDefault="009871AA" w:rsidP="006E579B">
      <w:pPr>
        <w:pStyle w:val="1"/>
        <w:rPr>
          <w:rFonts w:asciiTheme="minorHAnsi" w:hAnsiTheme="minorHAnsi" w:cstheme="minorHAnsi"/>
          <w:sz w:val="22"/>
          <w:szCs w:val="22"/>
          <w:lang w:val="de-CH"/>
        </w:rPr>
      </w:pPr>
    </w:p>
    <w:p w14:paraId="0CF89261" w14:textId="068A4DC0" w:rsidR="006E579B" w:rsidRPr="007010AE" w:rsidRDefault="009871AA" w:rsidP="006E579B">
      <w:pPr>
        <w:pStyle w:val="1"/>
        <w:rPr>
          <w:rFonts w:asciiTheme="minorHAnsi" w:hAnsiTheme="minorHAnsi" w:cstheme="minorHAnsi"/>
          <w:sz w:val="22"/>
          <w:szCs w:val="22"/>
          <w:lang w:val="de-CH"/>
        </w:rPr>
      </w:pPr>
      <w:r w:rsidRPr="007010AE">
        <w:rPr>
          <w:rFonts w:asciiTheme="minorHAnsi" w:hAnsiTheme="minorHAnsi" w:cstheme="minorHAnsi"/>
          <w:sz w:val="22"/>
          <w:szCs w:val="22"/>
          <w:lang w:val="de-CH"/>
        </w:rPr>
        <w:t>Es ist keinem Wiederverkäufer, Agenten oder Angestellten von Nuheara gestattet, eine Veränderung, Erweiterung oder Zusatz zu dieser Garantie abzugeben</w:t>
      </w:r>
      <w:r w:rsidRPr="007010AE">
        <w:rPr>
          <w:rFonts w:asciiTheme="minorHAnsi" w:hAnsiTheme="minorHAnsi" w:cstheme="minorHAnsi"/>
          <w:sz w:val="22"/>
          <w:szCs w:val="22"/>
          <w:lang w:val="de-CH"/>
        </w:rPr>
        <w:t>.</w:t>
      </w:r>
    </w:p>
    <w:p w14:paraId="02D572FB" w14:textId="77777777" w:rsidR="009871AA" w:rsidRPr="007010AE" w:rsidRDefault="009871AA" w:rsidP="006E579B">
      <w:pPr>
        <w:pStyle w:val="1"/>
        <w:rPr>
          <w:rFonts w:asciiTheme="minorHAnsi" w:hAnsiTheme="minorHAnsi" w:cstheme="minorHAnsi"/>
          <w:sz w:val="22"/>
          <w:szCs w:val="22"/>
          <w:lang w:val="it-IT"/>
        </w:rPr>
      </w:pPr>
    </w:p>
    <w:p w14:paraId="2CB4E633" w14:textId="77777777" w:rsidR="009871AA" w:rsidRPr="007010AE" w:rsidRDefault="009871AA"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de-CH"/>
        </w:rPr>
      </w:pPr>
      <w:r w:rsidRPr="007010AE">
        <w:rPr>
          <w:rFonts w:cstheme="minorHAnsi"/>
          <w:lang w:val="de-CH"/>
        </w:rPr>
        <w:t>Einige Staaten und Länder erlauben keine Einschränkungen der Dauer von solchen Garantien, Bedingungen und/oder implizite Vertragsbedingungen, also sind die oben beschriebenen Einschränkungen auf Sie möglicherweise nicht anwendbar.  Diese Garantie wird zusätzlich zu den gesetzlich nicht wegbedingbaren Rechten und Rechtsbehelfen, die von Konsumentenschutzgesetze und -verordnungen vermittelt werden, angeboten und sie beeinträchtigen Ihre anwendbaren gesetzlichen Ansprüche in keiner Weise. Im unter den anwendbaren Gesetzen erlaubten Umfang beträgt die Dauer von jeder implizit abgegebenen Gewährleistung ein Jahr.</w:t>
      </w:r>
    </w:p>
    <w:p w14:paraId="643B7B50" w14:textId="77777777" w:rsidR="009871AA" w:rsidRPr="007010AE" w:rsidRDefault="009871AA" w:rsidP="009871AA">
      <w:pPr>
        <w:pStyle w:val="1"/>
        <w:rPr>
          <w:rFonts w:asciiTheme="minorHAnsi" w:hAnsiTheme="minorHAnsi" w:cstheme="minorHAnsi"/>
          <w:sz w:val="22"/>
          <w:szCs w:val="22"/>
          <w:lang w:val="de-CH"/>
        </w:rPr>
      </w:pPr>
      <w:r w:rsidRPr="007010AE">
        <w:rPr>
          <w:rFonts w:asciiTheme="minorHAnsi" w:hAnsiTheme="minorHAnsi" w:cstheme="minorHAnsi"/>
          <w:sz w:val="22"/>
          <w:szCs w:val="22"/>
          <w:lang w:val="de-CH"/>
        </w:rPr>
        <w:t xml:space="preserve">Für australische Konsumenten: Unsere Waren kommen mit den Garantien einher, die gemäß den australischen Konsumentengesetzen nicht wegbedungen werden dürfen. Sie haben das Anrecht auf Ersatz oder Rückerstattung für einen Großausfall und Schadenersatz für jede andere Art von voraussehbarem Verlust oder Schaden. Sie haben zudem das Anrecht auf Reparatur der Waren oder Ersatz, wenn die Waren nicht von annehmbarer Qualität sind und der Ausfall nicht einem Großausfall gleichkommt. </w:t>
      </w:r>
    </w:p>
    <w:p w14:paraId="075B9F7C" w14:textId="77777777" w:rsidR="009871AA" w:rsidRPr="007010AE" w:rsidRDefault="009871AA" w:rsidP="003E03C5">
      <w:pPr>
        <w:pStyle w:val="HTMLPreformatted"/>
        <w:rPr>
          <w:rFonts w:asciiTheme="minorHAnsi" w:hAnsiTheme="minorHAnsi" w:cstheme="minorHAnsi"/>
          <w:sz w:val="22"/>
          <w:szCs w:val="22"/>
          <w:lang w:val="it-IT"/>
        </w:rPr>
      </w:pPr>
    </w:p>
    <w:p w14:paraId="78B23083" w14:textId="712BDCAD" w:rsidR="00015C98" w:rsidRPr="007010AE" w:rsidRDefault="009871AA">
      <w:pPr>
        <w:rPr>
          <w:rFonts w:cstheme="minorHAnsi"/>
          <w:lang w:val="de-CH"/>
        </w:rPr>
      </w:pPr>
      <w:r w:rsidRPr="007010AE">
        <w:rPr>
          <w:rFonts w:cstheme="minorHAnsi"/>
          <w:lang w:val="de-CH"/>
        </w:rPr>
        <w:t xml:space="preserve">Für die vollständigen Garantiebestimmungen und -bedingungen besuchen Sie: </w:t>
      </w:r>
      <w:r w:rsidRPr="007010AE">
        <w:rPr>
          <w:rFonts w:cstheme="minorHAnsi"/>
          <w:lang w:val="de-CH"/>
        </w:rPr>
        <w:fldChar w:fldCharType="begin"/>
      </w:r>
      <w:r w:rsidRPr="007010AE">
        <w:rPr>
          <w:rFonts w:cstheme="minorHAnsi"/>
          <w:lang w:val="de-CH"/>
        </w:rPr>
        <w:instrText xml:space="preserve"> HYPERLINK "</w:instrText>
      </w:r>
      <w:r w:rsidRPr="007010AE">
        <w:rPr>
          <w:rFonts w:cstheme="minorHAnsi"/>
          <w:lang w:val="de-CH"/>
        </w:rPr>
        <w:instrText>http://www.nuheara.com/Nuheara-warranty/</w:instrText>
      </w:r>
      <w:r w:rsidRPr="007010AE">
        <w:rPr>
          <w:rFonts w:cstheme="minorHAnsi"/>
          <w:lang w:val="de-CH"/>
        </w:rPr>
        <w:instrText xml:space="preserve">" </w:instrText>
      </w:r>
      <w:r w:rsidRPr="007010AE">
        <w:rPr>
          <w:rFonts w:cstheme="minorHAnsi"/>
          <w:lang w:val="de-CH"/>
        </w:rPr>
        <w:fldChar w:fldCharType="separate"/>
      </w:r>
      <w:r w:rsidRPr="007010AE">
        <w:rPr>
          <w:rStyle w:val="Hyperlink"/>
          <w:rFonts w:cstheme="minorHAnsi"/>
          <w:lang w:val="de-CH"/>
        </w:rPr>
        <w:t>http://www.nuheara.com/Nuheara-warranty/</w:t>
      </w:r>
      <w:r w:rsidRPr="007010AE">
        <w:rPr>
          <w:rFonts w:cstheme="minorHAnsi"/>
          <w:lang w:val="de-CH"/>
        </w:rPr>
        <w:fldChar w:fldCharType="end"/>
      </w:r>
    </w:p>
    <w:p w14:paraId="3BA85EAC" w14:textId="77777777" w:rsidR="009871AA" w:rsidRPr="007010AE" w:rsidRDefault="009871AA">
      <w:pPr>
        <w:rPr>
          <w:rFonts w:cstheme="minorHAnsi"/>
          <w:b/>
        </w:rPr>
      </w:pPr>
    </w:p>
    <w:p w14:paraId="46DCE67C" w14:textId="43251762" w:rsidR="003478C3" w:rsidRPr="007010AE" w:rsidRDefault="009871AA">
      <w:pPr>
        <w:rPr>
          <w:rFonts w:cstheme="minorHAnsi"/>
          <w:b/>
        </w:rPr>
      </w:pPr>
      <w:proofErr w:type="spellStart"/>
      <w:r w:rsidRPr="007010AE">
        <w:rPr>
          <w:rFonts w:cstheme="minorHAnsi"/>
          <w:b/>
        </w:rPr>
        <w:t>Einhaltung</w:t>
      </w:r>
      <w:proofErr w:type="spellEnd"/>
      <w:r w:rsidRPr="007010AE">
        <w:rPr>
          <w:rFonts w:cstheme="minorHAnsi"/>
          <w:b/>
        </w:rPr>
        <w:t xml:space="preserve"> </w:t>
      </w:r>
      <w:proofErr w:type="spellStart"/>
      <w:r w:rsidRPr="007010AE">
        <w:rPr>
          <w:rFonts w:cstheme="minorHAnsi"/>
          <w:b/>
        </w:rPr>
        <w:t>gesetzlicher</w:t>
      </w:r>
      <w:proofErr w:type="spellEnd"/>
      <w:r w:rsidRPr="007010AE">
        <w:rPr>
          <w:rFonts w:cstheme="minorHAnsi"/>
          <w:b/>
        </w:rPr>
        <w:t xml:space="preserve"> </w:t>
      </w:r>
      <w:proofErr w:type="spellStart"/>
      <w:r w:rsidRPr="007010AE">
        <w:rPr>
          <w:rFonts w:cstheme="minorHAnsi"/>
          <w:b/>
        </w:rPr>
        <w:t>Bestimmungen</w:t>
      </w:r>
      <w:proofErr w:type="spellEnd"/>
    </w:p>
    <w:tbl>
      <w:tblPr>
        <w:tblStyle w:val="TableGrid"/>
        <w:tblW w:w="9895" w:type="dxa"/>
        <w:tblLook w:val="04A0" w:firstRow="1" w:lastRow="0" w:firstColumn="1" w:lastColumn="0" w:noHBand="0" w:noVBand="1"/>
      </w:tblPr>
      <w:tblGrid>
        <w:gridCol w:w="1840"/>
        <w:gridCol w:w="5050"/>
        <w:gridCol w:w="3005"/>
      </w:tblGrid>
      <w:tr w:rsidR="009871AA" w:rsidRPr="007010AE" w14:paraId="20A1A5DC" w14:textId="77777777" w:rsidTr="00823421">
        <w:trPr>
          <w:cantSplit/>
          <w:tblHeader/>
        </w:trPr>
        <w:tc>
          <w:tcPr>
            <w:tcW w:w="1555" w:type="dxa"/>
          </w:tcPr>
          <w:p w14:paraId="575786BD" w14:textId="1CD32E8C" w:rsidR="009871AA" w:rsidRPr="007010AE" w:rsidRDefault="009871AA" w:rsidP="009871AA">
            <w:pPr>
              <w:rPr>
                <w:rFonts w:cstheme="minorHAnsi"/>
                <w:b/>
              </w:rPr>
            </w:pPr>
            <w:r w:rsidRPr="007010AE">
              <w:rPr>
                <w:rFonts w:cstheme="minorHAnsi"/>
                <w:b/>
              </w:rPr>
              <w:t>Land</w:t>
            </w:r>
          </w:p>
        </w:tc>
        <w:tc>
          <w:tcPr>
            <w:tcW w:w="5280" w:type="dxa"/>
          </w:tcPr>
          <w:p w14:paraId="53D8D76D" w14:textId="53A9D035" w:rsidR="009871AA" w:rsidRPr="007010AE" w:rsidRDefault="009871AA" w:rsidP="009871AA">
            <w:pPr>
              <w:rPr>
                <w:rFonts w:cstheme="minorHAnsi"/>
                <w:b/>
              </w:rPr>
            </w:pPr>
            <w:proofErr w:type="spellStart"/>
            <w:r w:rsidRPr="007010AE">
              <w:rPr>
                <w:rFonts w:cstheme="minorHAnsi"/>
                <w:b/>
              </w:rPr>
              <w:t>Typgenehmigung</w:t>
            </w:r>
            <w:proofErr w:type="spellEnd"/>
          </w:p>
        </w:tc>
        <w:tc>
          <w:tcPr>
            <w:tcW w:w="3060" w:type="dxa"/>
          </w:tcPr>
          <w:p w14:paraId="40CD5779" w14:textId="69F34638" w:rsidR="009871AA" w:rsidRPr="007010AE" w:rsidRDefault="009871AA" w:rsidP="009871AA">
            <w:pPr>
              <w:rPr>
                <w:rFonts w:cstheme="minorHAnsi"/>
                <w:b/>
              </w:rPr>
            </w:pPr>
            <w:proofErr w:type="spellStart"/>
            <w:r w:rsidRPr="007010AE">
              <w:rPr>
                <w:rFonts w:cstheme="minorHAnsi"/>
                <w:b/>
              </w:rPr>
              <w:t>Kontrollmarke</w:t>
            </w:r>
            <w:proofErr w:type="spellEnd"/>
            <w:r w:rsidRPr="007010AE">
              <w:rPr>
                <w:rFonts w:cstheme="minorHAnsi"/>
                <w:b/>
              </w:rPr>
              <w:t xml:space="preserve"> / Logo</w:t>
            </w:r>
          </w:p>
        </w:tc>
      </w:tr>
      <w:tr w:rsidR="009871AA" w:rsidRPr="007010AE" w14:paraId="3800019F" w14:textId="77777777" w:rsidTr="00823421">
        <w:tc>
          <w:tcPr>
            <w:tcW w:w="1555" w:type="dxa"/>
          </w:tcPr>
          <w:p w14:paraId="7464A7C9" w14:textId="00383DE1" w:rsidR="009871AA" w:rsidRPr="007010AE" w:rsidRDefault="009871AA" w:rsidP="009871AA">
            <w:pPr>
              <w:rPr>
                <w:rFonts w:cstheme="minorHAnsi"/>
              </w:rPr>
            </w:pPr>
            <w:proofErr w:type="spellStart"/>
            <w:r w:rsidRPr="007010AE">
              <w:rPr>
                <w:rFonts w:cstheme="minorHAnsi"/>
              </w:rPr>
              <w:t>Australien</w:t>
            </w:r>
            <w:proofErr w:type="spellEnd"/>
            <w:r w:rsidRPr="007010AE">
              <w:rPr>
                <w:rFonts w:cstheme="minorHAnsi"/>
              </w:rPr>
              <w:t xml:space="preserve"> &amp; </w:t>
            </w:r>
            <w:proofErr w:type="spellStart"/>
            <w:r w:rsidRPr="007010AE">
              <w:rPr>
                <w:rFonts w:cstheme="minorHAnsi"/>
              </w:rPr>
              <w:t>Neuseeland</w:t>
            </w:r>
            <w:proofErr w:type="spellEnd"/>
          </w:p>
        </w:tc>
        <w:tc>
          <w:tcPr>
            <w:tcW w:w="5280" w:type="dxa"/>
          </w:tcPr>
          <w:p w14:paraId="5485B311" w14:textId="41A7F044" w:rsidR="009871AA" w:rsidRPr="007010AE" w:rsidRDefault="009871AA" w:rsidP="009871AA">
            <w:pPr>
              <w:rPr>
                <w:rFonts w:cstheme="minorHAnsi"/>
              </w:rPr>
            </w:pPr>
            <w:r w:rsidRPr="007010AE">
              <w:rPr>
                <w:rFonts w:cstheme="minorHAnsi"/>
              </w:rPr>
              <w:t>ACMA / RSM</w:t>
            </w:r>
          </w:p>
        </w:tc>
        <w:tc>
          <w:tcPr>
            <w:tcW w:w="3060" w:type="dxa"/>
          </w:tcPr>
          <w:p w14:paraId="2833867E" w14:textId="77777777" w:rsidR="009871AA" w:rsidRPr="007010AE" w:rsidRDefault="009871AA" w:rsidP="009871AA">
            <w:pPr>
              <w:rPr>
                <w:rFonts w:cstheme="minorHAnsi"/>
              </w:rPr>
            </w:pPr>
          </w:p>
          <w:p w14:paraId="5BBB5827" w14:textId="77777777" w:rsidR="009871AA" w:rsidRPr="007010AE" w:rsidRDefault="009871AA" w:rsidP="009871AA">
            <w:pPr>
              <w:rPr>
                <w:rFonts w:cstheme="minorHAnsi"/>
              </w:rPr>
            </w:pPr>
            <w:r w:rsidRPr="007010AE">
              <w:rPr>
                <w:rFonts w:cstheme="minorHAnsi"/>
                <w:noProof/>
              </w:rPr>
              <w:drawing>
                <wp:inline distT="0" distB="0" distL="0" distR="0" wp14:anchorId="540CF208" wp14:editId="0303BFE0">
                  <wp:extent cx="952500" cy="54370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99359" cy="570450"/>
                          </a:xfrm>
                          <a:prstGeom prst="rect">
                            <a:avLst/>
                          </a:prstGeom>
                        </pic:spPr>
                      </pic:pic>
                    </a:graphicData>
                  </a:graphic>
                </wp:inline>
              </w:drawing>
            </w:r>
          </w:p>
          <w:p w14:paraId="3D31BBD7" w14:textId="77777777" w:rsidR="009871AA" w:rsidRPr="007010AE" w:rsidRDefault="009871AA" w:rsidP="009871AA">
            <w:pPr>
              <w:rPr>
                <w:rFonts w:cstheme="minorHAnsi"/>
              </w:rPr>
            </w:pPr>
          </w:p>
        </w:tc>
      </w:tr>
      <w:tr w:rsidR="009871AA" w:rsidRPr="007010AE" w14:paraId="34AFBAFC" w14:textId="77777777" w:rsidTr="00823421">
        <w:tc>
          <w:tcPr>
            <w:tcW w:w="1555" w:type="dxa"/>
          </w:tcPr>
          <w:p w14:paraId="734AF46B" w14:textId="7BF9B107" w:rsidR="009871AA" w:rsidRPr="007010AE" w:rsidRDefault="009871AA" w:rsidP="009871AA">
            <w:pPr>
              <w:rPr>
                <w:rFonts w:cstheme="minorHAnsi"/>
              </w:rPr>
            </w:pPr>
            <w:proofErr w:type="spellStart"/>
            <w:r w:rsidRPr="007010AE">
              <w:rPr>
                <w:rFonts w:cstheme="minorHAnsi"/>
              </w:rPr>
              <w:t>Kanada</w:t>
            </w:r>
            <w:proofErr w:type="spellEnd"/>
          </w:p>
        </w:tc>
        <w:tc>
          <w:tcPr>
            <w:tcW w:w="5280" w:type="dxa"/>
          </w:tcPr>
          <w:p w14:paraId="6EDF0522" w14:textId="77777777" w:rsidR="009871AA" w:rsidRPr="007010AE" w:rsidRDefault="009871AA" w:rsidP="009871AA">
            <w:pPr>
              <w:pStyle w:val="1"/>
              <w:rPr>
                <w:rFonts w:asciiTheme="minorHAnsi" w:hAnsiTheme="minorHAnsi" w:cstheme="minorHAnsi"/>
                <w:sz w:val="22"/>
                <w:szCs w:val="22"/>
                <w:lang w:val="de-CH"/>
              </w:rPr>
            </w:pPr>
            <w:r w:rsidRPr="007010AE">
              <w:rPr>
                <w:rFonts w:asciiTheme="minorHAnsi" w:hAnsiTheme="minorHAnsi" w:cstheme="minorHAnsi"/>
                <w:sz w:val="22"/>
                <w:szCs w:val="22"/>
                <w:lang w:val="de-CH"/>
              </w:rPr>
              <w:t>IC Entsprechenserklärung. Dieses Gerät befindet sich in Übereinstimmung mit dem(n) Standard(s) von Industry Canada für lizenzbefreite RSS. Der Betrieb wird unter den zwei folgenden Bedingungen gestattet: 1. Dieses Gerät darf keine schädlichen Interferenzen verursachen, und 2. Dieses Gerät muss jedes erhaltene Signal annehmen, einschließlich von Interferenzen, die einen unerwünschten Betrieb verursachen können. CAN ICES-3(B) / NMB-3(B).</w:t>
            </w:r>
          </w:p>
          <w:p w14:paraId="2C0F224E" w14:textId="7CD4D432" w:rsidR="009871AA" w:rsidRPr="007010AE" w:rsidRDefault="009871AA" w:rsidP="009871AA">
            <w:pPr>
              <w:rPr>
                <w:rFonts w:cstheme="minorHAnsi"/>
              </w:rPr>
            </w:pPr>
            <w:r w:rsidRPr="007010AE">
              <w:rPr>
                <w:rFonts w:cstheme="minorHAnsi"/>
                <w:lang w:val="de-CH"/>
              </w:rPr>
              <w:t>IC Funkbelastung. Diese Ausrüstung erfüllt die kanadischen Strahlenbelastungsgrenzwerte, die für unkontrollierte Umgebungen erlassen wurden. Dieser Transmitter darf nicht mit anderen Antennen oder Transmittern zusammen verwendet werden.</w:t>
            </w:r>
          </w:p>
        </w:tc>
        <w:tc>
          <w:tcPr>
            <w:tcW w:w="3060" w:type="dxa"/>
          </w:tcPr>
          <w:p w14:paraId="580F75E6" w14:textId="77777777" w:rsidR="009871AA" w:rsidRPr="007010AE" w:rsidRDefault="009871AA" w:rsidP="009871AA">
            <w:pPr>
              <w:rPr>
                <w:rFonts w:cstheme="minorHAnsi"/>
              </w:rPr>
            </w:pPr>
            <w:r w:rsidRPr="007010AE">
              <w:rPr>
                <w:rFonts w:cstheme="minorHAnsi"/>
              </w:rPr>
              <w:t xml:space="preserve">IC: </w:t>
            </w:r>
            <w:proofErr w:type="spellStart"/>
            <w:r w:rsidRPr="007010AE">
              <w:rPr>
                <w:rFonts w:cstheme="minorHAnsi"/>
              </w:rPr>
              <w:t>xxxxx-xxxxxxxxx</w:t>
            </w:r>
            <w:proofErr w:type="spellEnd"/>
          </w:p>
          <w:p w14:paraId="5BA3C454" w14:textId="77777777" w:rsidR="009871AA" w:rsidRPr="007010AE" w:rsidRDefault="009871AA" w:rsidP="009871AA">
            <w:pPr>
              <w:rPr>
                <w:rFonts w:cstheme="minorHAnsi"/>
              </w:rPr>
            </w:pPr>
          </w:p>
        </w:tc>
      </w:tr>
      <w:tr w:rsidR="007010AE" w:rsidRPr="007010AE" w14:paraId="15EBD4B0" w14:textId="77777777" w:rsidTr="00823421">
        <w:tc>
          <w:tcPr>
            <w:tcW w:w="1555" w:type="dxa"/>
          </w:tcPr>
          <w:p w14:paraId="2045B3C8" w14:textId="0EAB40A1" w:rsidR="007010AE" w:rsidRPr="007010AE" w:rsidRDefault="007010AE" w:rsidP="007010AE">
            <w:pPr>
              <w:rPr>
                <w:rFonts w:cstheme="minorHAnsi"/>
              </w:rPr>
            </w:pPr>
            <w:proofErr w:type="spellStart"/>
            <w:r w:rsidRPr="007010AE">
              <w:rPr>
                <w:rFonts w:cstheme="minorHAnsi"/>
              </w:rPr>
              <w:t>Europäische</w:t>
            </w:r>
            <w:proofErr w:type="spellEnd"/>
            <w:r w:rsidRPr="007010AE">
              <w:rPr>
                <w:rFonts w:cstheme="minorHAnsi"/>
              </w:rPr>
              <w:t xml:space="preserve"> Union</w:t>
            </w:r>
          </w:p>
        </w:tc>
        <w:tc>
          <w:tcPr>
            <w:tcW w:w="5280" w:type="dxa"/>
          </w:tcPr>
          <w:p w14:paraId="2D0EBCA6" w14:textId="7E8985B1" w:rsidR="007010AE" w:rsidRPr="007010AE" w:rsidRDefault="007010AE" w:rsidP="007010AE">
            <w:pPr>
              <w:rPr>
                <w:rFonts w:cstheme="minorHAnsi"/>
              </w:rPr>
            </w:pPr>
            <w:r w:rsidRPr="007010AE">
              <w:rPr>
                <w:rFonts w:cstheme="minorHAnsi"/>
                <w:lang w:val="de-CH"/>
              </w:rPr>
              <w:t>Dieses kabellose Gerät entspricht den Erfordernissen der EU-Richtlinien 2014/53/EU (Funkanlagen-Richtlinie); 2014/30/EU (Richtlinie über  elektromagnetische Kompatibilität) und 2014/35/EU (Richtlinie über die Bereitstellung elektrischer Betriebsmittel zur Verwendung innerhalb bestimmter Spannungsgrenzen).</w:t>
            </w:r>
          </w:p>
        </w:tc>
        <w:tc>
          <w:tcPr>
            <w:tcW w:w="3060" w:type="dxa"/>
          </w:tcPr>
          <w:p w14:paraId="2968009A" w14:textId="77777777" w:rsidR="007010AE" w:rsidRPr="007010AE" w:rsidRDefault="007010AE" w:rsidP="007010AE">
            <w:pPr>
              <w:rPr>
                <w:rFonts w:cstheme="minorHAnsi"/>
              </w:rPr>
            </w:pPr>
            <w:r w:rsidRPr="007010AE">
              <w:rPr>
                <w:rFonts w:cstheme="minorHAnsi"/>
                <w:noProof/>
              </w:rPr>
              <w:drawing>
                <wp:inline distT="0" distB="0" distL="0" distR="0" wp14:anchorId="032C0FD7" wp14:editId="737FC12F">
                  <wp:extent cx="904875" cy="50704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15011" cy="512721"/>
                          </a:xfrm>
                          <a:prstGeom prst="rect">
                            <a:avLst/>
                          </a:prstGeom>
                        </pic:spPr>
                      </pic:pic>
                    </a:graphicData>
                  </a:graphic>
                </wp:inline>
              </w:drawing>
            </w:r>
            <w:r w:rsidRPr="007010AE">
              <w:rPr>
                <w:rFonts w:cstheme="minorHAnsi"/>
                <w:noProof/>
              </w:rPr>
              <w:t xml:space="preserve"> </w:t>
            </w:r>
            <w:r w:rsidRPr="007010AE">
              <w:rPr>
                <w:rFonts w:cstheme="minorHAnsi"/>
                <w:noProof/>
              </w:rPr>
              <w:drawing>
                <wp:inline distT="0" distB="0" distL="0" distR="0" wp14:anchorId="5D17F3BF" wp14:editId="7AEED786">
                  <wp:extent cx="666750" cy="77393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2918" cy="792698"/>
                          </a:xfrm>
                          <a:prstGeom prst="rect">
                            <a:avLst/>
                          </a:prstGeom>
                        </pic:spPr>
                      </pic:pic>
                    </a:graphicData>
                  </a:graphic>
                </wp:inline>
              </w:drawing>
            </w:r>
          </w:p>
        </w:tc>
      </w:tr>
      <w:tr w:rsidR="007010AE" w:rsidRPr="007010AE" w14:paraId="129D4986" w14:textId="77777777" w:rsidTr="00823421">
        <w:tc>
          <w:tcPr>
            <w:tcW w:w="1555" w:type="dxa"/>
          </w:tcPr>
          <w:p w14:paraId="5A43348E" w14:textId="62F1AB78" w:rsidR="007010AE" w:rsidRPr="007010AE" w:rsidRDefault="007010AE" w:rsidP="007010AE">
            <w:pPr>
              <w:rPr>
                <w:rFonts w:cstheme="minorHAnsi"/>
              </w:rPr>
            </w:pPr>
            <w:r w:rsidRPr="007010AE">
              <w:rPr>
                <w:rFonts w:cstheme="minorHAnsi"/>
              </w:rPr>
              <w:lastRenderedPageBreak/>
              <w:t>Japan</w:t>
            </w:r>
          </w:p>
        </w:tc>
        <w:tc>
          <w:tcPr>
            <w:tcW w:w="5280" w:type="dxa"/>
          </w:tcPr>
          <w:p w14:paraId="5F442438" w14:textId="43217128" w:rsidR="007010AE" w:rsidRPr="007010AE" w:rsidRDefault="007010AE" w:rsidP="007010AE">
            <w:pPr>
              <w:rPr>
                <w:rFonts w:cstheme="minorHAnsi"/>
              </w:rPr>
            </w:pPr>
            <w:proofErr w:type="spellStart"/>
            <w:r w:rsidRPr="007010AE">
              <w:rPr>
                <w:rFonts w:cstheme="minorHAnsi"/>
              </w:rPr>
              <w:t>Zertifikat</w:t>
            </w:r>
            <w:proofErr w:type="spellEnd"/>
            <w:r w:rsidRPr="007010AE">
              <w:rPr>
                <w:rFonts w:cstheme="minorHAnsi"/>
              </w:rPr>
              <w:t xml:space="preserve"> </w:t>
            </w:r>
            <w:proofErr w:type="spellStart"/>
            <w:r w:rsidRPr="007010AE">
              <w:rPr>
                <w:rFonts w:cstheme="minorHAnsi"/>
              </w:rPr>
              <w:t>für</w:t>
            </w:r>
            <w:proofErr w:type="spellEnd"/>
            <w:r w:rsidRPr="007010AE">
              <w:rPr>
                <w:rFonts w:cstheme="minorHAnsi"/>
              </w:rPr>
              <w:t xml:space="preserve"> </w:t>
            </w:r>
            <w:proofErr w:type="spellStart"/>
            <w:r w:rsidRPr="007010AE">
              <w:rPr>
                <w:rFonts w:cstheme="minorHAnsi"/>
              </w:rPr>
              <w:t>Radioausrüstung</w:t>
            </w:r>
            <w:proofErr w:type="spellEnd"/>
            <w:r w:rsidRPr="007010AE">
              <w:rPr>
                <w:rFonts w:cstheme="minorHAnsi"/>
              </w:rPr>
              <w:t xml:space="preserve">  </w:t>
            </w:r>
          </w:p>
        </w:tc>
        <w:tc>
          <w:tcPr>
            <w:tcW w:w="3060" w:type="dxa"/>
          </w:tcPr>
          <w:p w14:paraId="542E631E" w14:textId="71206006" w:rsidR="007010AE" w:rsidRPr="007010AE" w:rsidRDefault="007010AE" w:rsidP="007010AE">
            <w:pPr>
              <w:rPr>
                <w:rFonts w:cstheme="minorHAnsi"/>
                <w:noProof/>
              </w:rPr>
            </w:pPr>
            <w:r w:rsidRPr="007010AE">
              <w:rPr>
                <w:rFonts w:cstheme="minorHAnsi"/>
                <w:noProof/>
              </w:rPr>
              <w:drawing>
                <wp:inline distT="0" distB="0" distL="0" distR="0" wp14:anchorId="37CF3A86" wp14:editId="2404F07C">
                  <wp:extent cx="551227" cy="36195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179" cy="368485"/>
                          </a:xfrm>
                          <a:prstGeom prst="rect">
                            <a:avLst/>
                          </a:prstGeom>
                        </pic:spPr>
                      </pic:pic>
                    </a:graphicData>
                  </a:graphic>
                </wp:inline>
              </w:drawing>
            </w:r>
            <w:r w:rsidRPr="007010AE">
              <w:rPr>
                <w:rFonts w:cstheme="minorHAnsi"/>
              </w:rPr>
              <w:t xml:space="preserve"> xxx-</w:t>
            </w:r>
            <w:proofErr w:type="spellStart"/>
            <w:r w:rsidRPr="007010AE">
              <w:rPr>
                <w:rFonts w:cstheme="minorHAnsi"/>
              </w:rPr>
              <w:t>xxxxxx</w:t>
            </w:r>
            <w:proofErr w:type="spellEnd"/>
            <w:r w:rsidRPr="007010AE">
              <w:rPr>
                <w:rFonts w:cstheme="minorHAnsi"/>
              </w:rPr>
              <w:t>/xx</w:t>
            </w:r>
          </w:p>
        </w:tc>
      </w:tr>
      <w:tr w:rsidR="007010AE" w:rsidRPr="007010AE" w14:paraId="318846B2" w14:textId="77777777" w:rsidTr="00823421">
        <w:tc>
          <w:tcPr>
            <w:tcW w:w="1555" w:type="dxa"/>
          </w:tcPr>
          <w:p w14:paraId="5BE5105F" w14:textId="6B9E2117" w:rsidR="007010AE" w:rsidRPr="007010AE" w:rsidRDefault="007010AE" w:rsidP="007010AE">
            <w:pPr>
              <w:rPr>
                <w:rFonts w:cstheme="minorHAnsi"/>
              </w:rPr>
            </w:pPr>
            <w:proofErr w:type="spellStart"/>
            <w:r w:rsidRPr="007010AE">
              <w:rPr>
                <w:rFonts w:cstheme="minorHAnsi"/>
              </w:rPr>
              <w:t>Vereinigte</w:t>
            </w:r>
            <w:proofErr w:type="spellEnd"/>
            <w:r w:rsidRPr="007010AE">
              <w:rPr>
                <w:rFonts w:cstheme="minorHAnsi"/>
              </w:rPr>
              <w:t xml:space="preserve"> Staaten</w:t>
            </w:r>
          </w:p>
        </w:tc>
        <w:tc>
          <w:tcPr>
            <w:tcW w:w="5280" w:type="dxa"/>
          </w:tcPr>
          <w:p w14:paraId="53B56CF4" w14:textId="77777777" w:rsidR="007010AE" w:rsidRPr="007010AE" w:rsidRDefault="007010AE" w:rsidP="007010AE">
            <w:pPr>
              <w:pStyle w:val="1"/>
              <w:rPr>
                <w:rFonts w:asciiTheme="minorHAnsi" w:hAnsiTheme="minorHAnsi" w:cstheme="minorHAnsi"/>
                <w:sz w:val="22"/>
                <w:szCs w:val="22"/>
                <w:lang w:val="de-CH"/>
              </w:rPr>
            </w:pPr>
            <w:r w:rsidRPr="007010AE">
              <w:rPr>
                <w:rFonts w:asciiTheme="minorHAnsi" w:hAnsiTheme="minorHAnsi" w:cstheme="minorHAnsi"/>
                <w:sz w:val="22"/>
                <w:szCs w:val="22"/>
                <w:lang w:val="de-CH"/>
              </w:rPr>
              <w:t xml:space="preserve">FCC Entsprechenserklärung. Dieses Gerät stimmt mit Teil 15 der FCC Regeln überein. Der Betrieb ist unter den folgenden zwei Bestimmungen gestattet: </w:t>
            </w:r>
          </w:p>
          <w:p w14:paraId="7221BE61" w14:textId="77777777" w:rsidR="007010AE" w:rsidRPr="007010AE" w:rsidRDefault="007010AE" w:rsidP="007010AE">
            <w:pPr>
              <w:pStyle w:val="1"/>
              <w:rPr>
                <w:rFonts w:asciiTheme="minorHAnsi" w:hAnsiTheme="minorHAnsi" w:cstheme="minorHAnsi"/>
                <w:sz w:val="22"/>
                <w:szCs w:val="22"/>
                <w:lang w:val="de-CH"/>
              </w:rPr>
            </w:pPr>
            <w:r w:rsidRPr="007010AE">
              <w:rPr>
                <w:rFonts w:asciiTheme="minorHAnsi" w:hAnsiTheme="minorHAnsi" w:cstheme="minorHAnsi"/>
                <w:sz w:val="22"/>
                <w:szCs w:val="22"/>
                <w:lang w:val="de-CH"/>
              </w:rPr>
              <w:t>1. Dieses Gerät darf keine schädlichen Interferenzen verursachen, und 2. Dieses Gerät muss jedes erhaltene Signal annehmen, einschließlich von Interferenzen, die einen unerwünschten Betrieb verursachen können. Notiz: Diese Ausrüstung wurde getestet und wurde als mit den Grenzwerten für ein digitales Gerät der Klasse B übereinstimmend beurteilt, gemäß Teil 15 der FCC Regeln. Diese Grenzwerte dafür konzipiert, einen angemessenen Schutz gegen schädliche Interferenzen in einem Wohnhaus zu bieten.      Diese Ausrüstung erzeugt und verwendet Radiofrequenzenergie und kann sie ausstrahlen, wenn sie nicht gemäß Anweisung installiert und verwendet wird, wobei sie schädliche Interferenzen für Radiokommunikationen bewirken kann. Dessen ungeachtet besteht keine Garantie, dass Interferenzen in einer bestimmten Installation nicht entstehen. Falls diese Ausrüstung für Radio- oder Fernsehempfang schädliche Interferenzen verursacht, die durch das An- und Abschalten der Ausrüstung ermittelt werden können, wird der Verwender ermutigt, eine oder mehrere der folgenden Maßnahmen zu treffen, um die Interferenzen zu beheben:</w:t>
            </w:r>
          </w:p>
          <w:p w14:paraId="1391851B" w14:textId="77777777" w:rsidR="007010AE" w:rsidRPr="007010AE" w:rsidRDefault="007010AE" w:rsidP="007010AE">
            <w:pPr>
              <w:pStyle w:val="1"/>
              <w:rPr>
                <w:rFonts w:asciiTheme="minorHAnsi" w:hAnsiTheme="minorHAnsi" w:cstheme="minorHAnsi"/>
                <w:sz w:val="22"/>
                <w:szCs w:val="22"/>
                <w:lang w:val="de-CH"/>
              </w:rPr>
            </w:pPr>
            <w:r w:rsidRPr="007010AE">
              <w:rPr>
                <w:rFonts w:asciiTheme="minorHAnsi" w:hAnsiTheme="minorHAnsi" w:cstheme="minorHAnsi"/>
                <w:sz w:val="22"/>
                <w:szCs w:val="22"/>
                <w:lang w:val="de-CH"/>
              </w:rPr>
              <w:t>•</w:t>
            </w:r>
            <w:r w:rsidRPr="007010AE">
              <w:rPr>
                <w:rFonts w:asciiTheme="minorHAnsi" w:hAnsiTheme="minorHAnsi" w:cstheme="minorHAnsi"/>
                <w:sz w:val="22"/>
                <w:szCs w:val="22"/>
                <w:lang w:val="de-CH"/>
              </w:rPr>
              <w:tab/>
              <w:t>Die Antenne neu ausrichten oder neu platzieren</w:t>
            </w:r>
          </w:p>
          <w:p w14:paraId="50AC05A5" w14:textId="77777777" w:rsidR="007010AE" w:rsidRPr="007010AE" w:rsidRDefault="007010AE" w:rsidP="007010AE">
            <w:pPr>
              <w:pStyle w:val="1"/>
              <w:rPr>
                <w:rFonts w:asciiTheme="minorHAnsi" w:hAnsiTheme="minorHAnsi" w:cstheme="minorHAnsi"/>
                <w:sz w:val="22"/>
                <w:szCs w:val="22"/>
                <w:lang w:val="de-CH"/>
              </w:rPr>
            </w:pPr>
            <w:r w:rsidRPr="007010AE">
              <w:rPr>
                <w:rFonts w:asciiTheme="minorHAnsi" w:hAnsiTheme="minorHAnsi" w:cstheme="minorHAnsi"/>
                <w:sz w:val="22"/>
                <w:szCs w:val="22"/>
                <w:lang w:val="de-CH"/>
              </w:rPr>
              <w:t>•</w:t>
            </w:r>
            <w:r w:rsidRPr="007010AE">
              <w:rPr>
                <w:rFonts w:asciiTheme="minorHAnsi" w:hAnsiTheme="minorHAnsi" w:cstheme="minorHAnsi"/>
                <w:sz w:val="22"/>
                <w:szCs w:val="22"/>
                <w:lang w:val="de-CH"/>
              </w:rPr>
              <w:tab/>
              <w:t>Die Trennung zwischen der Ausrüstung und dem Empfänger vergrößern</w:t>
            </w:r>
          </w:p>
          <w:p w14:paraId="7261648E" w14:textId="77777777" w:rsidR="007010AE" w:rsidRPr="007010AE" w:rsidRDefault="007010AE" w:rsidP="007010AE">
            <w:pPr>
              <w:pStyle w:val="1"/>
              <w:rPr>
                <w:rFonts w:asciiTheme="minorHAnsi" w:hAnsiTheme="minorHAnsi" w:cstheme="minorHAnsi"/>
                <w:sz w:val="22"/>
                <w:szCs w:val="22"/>
                <w:lang w:val="de-CH"/>
              </w:rPr>
            </w:pPr>
            <w:r w:rsidRPr="007010AE">
              <w:rPr>
                <w:rFonts w:asciiTheme="minorHAnsi" w:hAnsiTheme="minorHAnsi" w:cstheme="minorHAnsi"/>
                <w:sz w:val="22"/>
                <w:szCs w:val="22"/>
                <w:lang w:val="de-CH"/>
              </w:rPr>
              <w:t>•</w:t>
            </w:r>
            <w:r w:rsidRPr="007010AE">
              <w:rPr>
                <w:rFonts w:asciiTheme="minorHAnsi" w:hAnsiTheme="minorHAnsi" w:cstheme="minorHAnsi"/>
                <w:sz w:val="22"/>
                <w:szCs w:val="22"/>
                <w:lang w:val="de-CH"/>
              </w:rPr>
              <w:tab/>
              <w:t>Die Ausrüstung mit einer Steckdose verbinden, die mit einem anderen Kreislauf verbunden ist als der, mit dem der Empfänger verbunden ist.</w:t>
            </w:r>
          </w:p>
          <w:p w14:paraId="1D5B7EB8" w14:textId="77777777" w:rsidR="007010AE" w:rsidRPr="007010AE" w:rsidRDefault="007010AE" w:rsidP="007010AE">
            <w:pPr>
              <w:pStyle w:val="1"/>
              <w:rPr>
                <w:rFonts w:asciiTheme="minorHAnsi" w:hAnsiTheme="minorHAnsi" w:cstheme="minorHAnsi"/>
                <w:sz w:val="22"/>
                <w:szCs w:val="22"/>
                <w:lang w:val="de-CH"/>
              </w:rPr>
            </w:pPr>
            <w:r w:rsidRPr="007010AE">
              <w:rPr>
                <w:rFonts w:asciiTheme="minorHAnsi" w:hAnsiTheme="minorHAnsi" w:cstheme="minorHAnsi"/>
                <w:sz w:val="22"/>
                <w:szCs w:val="22"/>
                <w:lang w:val="de-CH"/>
              </w:rPr>
              <w:t>•</w:t>
            </w:r>
            <w:r w:rsidRPr="007010AE">
              <w:rPr>
                <w:rFonts w:asciiTheme="minorHAnsi" w:hAnsiTheme="minorHAnsi" w:cstheme="minorHAnsi"/>
                <w:sz w:val="22"/>
                <w:szCs w:val="22"/>
                <w:lang w:val="de-CH"/>
              </w:rPr>
              <w:tab/>
              <w:t>Den Verkäufer oder einen erfahrenen Radio / Fernseh-Techniker für Hilfestellung herbei ziehen.</w:t>
            </w:r>
          </w:p>
          <w:p w14:paraId="5A19184F" w14:textId="77777777" w:rsidR="007010AE" w:rsidRPr="007010AE" w:rsidRDefault="007010AE" w:rsidP="007010AE">
            <w:pPr>
              <w:pStyle w:val="1"/>
              <w:rPr>
                <w:rFonts w:asciiTheme="minorHAnsi" w:hAnsiTheme="minorHAnsi" w:cstheme="minorHAnsi"/>
                <w:sz w:val="22"/>
                <w:szCs w:val="22"/>
                <w:lang w:val="de-CH"/>
              </w:rPr>
            </w:pPr>
            <w:r w:rsidRPr="007010AE">
              <w:rPr>
                <w:rFonts w:asciiTheme="minorHAnsi" w:hAnsiTheme="minorHAnsi" w:cstheme="minorHAnsi"/>
                <w:sz w:val="22"/>
                <w:szCs w:val="22"/>
                <w:lang w:val="de-CH"/>
              </w:rPr>
              <w:t>Sämtliche Änderungen oder Modifikationen die nicht ausdrücklich durch die Partei, die für die Einhaltung der Regularien verantwortlich ist, genehmigt wurden, könnten Ihre Berechtigung, die Ausrüstung zu betreiben, ungültig werden lassen.</w:t>
            </w:r>
          </w:p>
          <w:p w14:paraId="7DB1F4BC" w14:textId="0FC662C6" w:rsidR="007010AE" w:rsidRPr="007010AE" w:rsidRDefault="007010AE" w:rsidP="007010AE">
            <w:pPr>
              <w:rPr>
                <w:rFonts w:cstheme="minorHAnsi"/>
              </w:rPr>
            </w:pPr>
            <w:r w:rsidRPr="007010AE">
              <w:rPr>
                <w:rFonts w:cstheme="minorHAnsi"/>
                <w:lang w:val="de-CH"/>
              </w:rPr>
              <w:t xml:space="preserve">FCC Information zur Funkbelastung. Diese Ausrüstung erfüllt die FCC-Strahlenbelastungsgrenzwerte, die für unkontrollierte Umgebungen erlassen wurden. Endverbraucher müssen die spezifischen Betriebsanleitungen befolgen, um die Radiofunkbelastungsvorschriften einzuhalten. Dieser Transmitter darf nicht mit anderen Antennen oder </w:t>
            </w:r>
            <w:r w:rsidRPr="007010AE">
              <w:rPr>
                <w:rFonts w:cstheme="minorHAnsi"/>
                <w:lang w:val="de-CH"/>
              </w:rPr>
              <w:lastRenderedPageBreak/>
              <w:t>Transmittern am gleichen Standort aufgestellt oder zusammen mit ihnen in Betrieb genommen werden.</w:t>
            </w:r>
          </w:p>
        </w:tc>
        <w:tc>
          <w:tcPr>
            <w:tcW w:w="3060" w:type="dxa"/>
          </w:tcPr>
          <w:p w14:paraId="2F06C38A" w14:textId="777FC5EC" w:rsidR="007010AE" w:rsidRPr="007010AE" w:rsidRDefault="007010AE" w:rsidP="007010AE">
            <w:pPr>
              <w:rPr>
                <w:rFonts w:cstheme="minorHAnsi"/>
                <w:noProof/>
              </w:rPr>
            </w:pPr>
            <w:r w:rsidRPr="007010AE">
              <w:rPr>
                <w:rFonts w:cstheme="minorHAnsi"/>
                <w:noProof/>
              </w:rPr>
              <w:lastRenderedPageBreak/>
              <w:drawing>
                <wp:inline distT="0" distB="0" distL="0" distR="0" wp14:anchorId="7BD8E6D7" wp14:editId="095B2C1E">
                  <wp:extent cx="1485900" cy="6523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50916" cy="680890"/>
                          </a:xfrm>
                          <a:prstGeom prst="rect">
                            <a:avLst/>
                          </a:prstGeom>
                        </pic:spPr>
                      </pic:pic>
                    </a:graphicData>
                  </a:graphic>
                </wp:inline>
              </w:drawing>
            </w:r>
          </w:p>
        </w:tc>
      </w:tr>
      <w:tr w:rsidR="007010AE" w:rsidRPr="007010AE" w14:paraId="6B7C7459" w14:textId="77777777" w:rsidTr="00823421">
        <w:tc>
          <w:tcPr>
            <w:tcW w:w="1555" w:type="dxa"/>
          </w:tcPr>
          <w:p w14:paraId="550A4DFA" w14:textId="4A82F6AF" w:rsidR="007010AE" w:rsidRPr="007010AE" w:rsidRDefault="007010AE" w:rsidP="007010AE">
            <w:pPr>
              <w:rPr>
                <w:rFonts w:cstheme="minorHAnsi"/>
              </w:rPr>
            </w:pPr>
            <w:proofErr w:type="spellStart"/>
            <w:r w:rsidRPr="007010AE">
              <w:rPr>
                <w:rFonts w:cstheme="minorHAnsi"/>
              </w:rPr>
              <w:t>Erklärung</w:t>
            </w:r>
            <w:proofErr w:type="spellEnd"/>
            <w:r w:rsidRPr="007010AE">
              <w:rPr>
                <w:rFonts w:cstheme="minorHAnsi"/>
              </w:rPr>
              <w:t xml:space="preserve"> </w:t>
            </w:r>
            <w:proofErr w:type="spellStart"/>
            <w:r w:rsidRPr="007010AE">
              <w:rPr>
                <w:rFonts w:cstheme="minorHAnsi"/>
              </w:rPr>
              <w:t>zur</w:t>
            </w:r>
            <w:proofErr w:type="spellEnd"/>
            <w:r w:rsidRPr="007010AE">
              <w:rPr>
                <w:rFonts w:cstheme="minorHAnsi"/>
              </w:rPr>
              <w:t xml:space="preserve"> </w:t>
            </w:r>
            <w:proofErr w:type="spellStart"/>
            <w:r w:rsidRPr="007010AE">
              <w:rPr>
                <w:rFonts w:cstheme="minorHAnsi"/>
              </w:rPr>
              <w:t>Strahlenbelastung</w:t>
            </w:r>
            <w:proofErr w:type="spellEnd"/>
          </w:p>
        </w:tc>
        <w:tc>
          <w:tcPr>
            <w:tcW w:w="5280" w:type="dxa"/>
          </w:tcPr>
          <w:p w14:paraId="075E4E9C" w14:textId="2AC253A6" w:rsidR="007010AE" w:rsidRPr="007010AE" w:rsidRDefault="007010AE" w:rsidP="007010AE">
            <w:pPr>
              <w:rPr>
                <w:rFonts w:cstheme="minorHAnsi"/>
              </w:rPr>
            </w:pPr>
            <w:r w:rsidRPr="007010AE">
              <w:rPr>
                <w:rFonts w:cstheme="minorHAnsi"/>
                <w:lang w:val="de-CH"/>
              </w:rPr>
              <w:t>Dieses Gerät stimmt mit dem ISED RSS-102 Grenzwert für Radiofunkbelastung in einer unkontrollierten Umgebung überein und ist für den bestimmungsgemäßen Betrieb, wie er in diesem Handbuch beschrieben ist, als sicher einzustufen.</w:t>
            </w:r>
          </w:p>
        </w:tc>
        <w:tc>
          <w:tcPr>
            <w:tcW w:w="3060" w:type="dxa"/>
          </w:tcPr>
          <w:p w14:paraId="47FA6188" w14:textId="77777777" w:rsidR="007010AE" w:rsidRPr="007010AE" w:rsidRDefault="007010AE" w:rsidP="007010AE">
            <w:pPr>
              <w:rPr>
                <w:rFonts w:cstheme="minorHAnsi"/>
                <w:noProof/>
              </w:rPr>
            </w:pPr>
          </w:p>
        </w:tc>
      </w:tr>
    </w:tbl>
    <w:p w14:paraId="745AA449" w14:textId="36FD797F" w:rsidR="004E7CA6" w:rsidRPr="007010AE" w:rsidRDefault="004E7CA6">
      <w:pPr>
        <w:rPr>
          <w:rFonts w:cstheme="minorHAnsi"/>
        </w:rPr>
      </w:pPr>
    </w:p>
    <w:p w14:paraId="62103834" w14:textId="25C98E60" w:rsidR="007010AE" w:rsidRPr="007010AE" w:rsidRDefault="007010AE" w:rsidP="007010AE">
      <w:pPr>
        <w:pStyle w:val="1"/>
        <w:rPr>
          <w:rFonts w:asciiTheme="minorHAnsi" w:hAnsiTheme="minorHAnsi" w:cstheme="minorHAnsi"/>
          <w:sz w:val="22"/>
          <w:szCs w:val="22"/>
          <w:lang w:val="de-CH"/>
        </w:rPr>
      </w:pPr>
      <w:r w:rsidRPr="007010AE">
        <w:rPr>
          <w:rFonts w:asciiTheme="minorHAnsi" w:hAnsiTheme="minorHAnsi" w:cstheme="minorHAnsi"/>
          <w:sz w:val="22"/>
          <w:szCs w:val="22"/>
          <w:lang w:val="de-CH"/>
        </w:rPr>
        <w:t>IQstream Fernseher wird in Malaysia hergestellt durch:</w:t>
      </w:r>
    </w:p>
    <w:p w14:paraId="4067BDA9" w14:textId="77777777" w:rsidR="007010AE" w:rsidRPr="007010AE" w:rsidRDefault="007010AE" w:rsidP="007010AE">
      <w:pPr>
        <w:pStyle w:val="1"/>
        <w:rPr>
          <w:rFonts w:asciiTheme="minorHAnsi" w:hAnsiTheme="minorHAnsi" w:cstheme="minorHAnsi"/>
          <w:sz w:val="22"/>
          <w:szCs w:val="22"/>
          <w:lang w:val="de-CH"/>
        </w:rPr>
      </w:pPr>
    </w:p>
    <w:p w14:paraId="23491E3A" w14:textId="77777777" w:rsidR="007010AE" w:rsidRPr="007010AE" w:rsidRDefault="007010AE" w:rsidP="007010AE">
      <w:pPr>
        <w:pStyle w:val="1"/>
        <w:rPr>
          <w:rFonts w:asciiTheme="minorHAnsi" w:hAnsiTheme="minorHAnsi" w:cstheme="minorHAnsi"/>
          <w:sz w:val="22"/>
          <w:szCs w:val="22"/>
        </w:rPr>
      </w:pPr>
      <w:proofErr w:type="spellStart"/>
      <w:r w:rsidRPr="007010AE">
        <w:rPr>
          <w:rFonts w:asciiTheme="minorHAnsi" w:hAnsiTheme="minorHAnsi" w:cstheme="minorHAnsi"/>
          <w:sz w:val="22"/>
          <w:szCs w:val="22"/>
        </w:rPr>
        <w:t>Salutica</w:t>
      </w:r>
      <w:proofErr w:type="spellEnd"/>
      <w:r w:rsidRPr="007010AE">
        <w:rPr>
          <w:rFonts w:asciiTheme="minorHAnsi" w:hAnsiTheme="minorHAnsi" w:cstheme="minorHAnsi"/>
          <w:sz w:val="22"/>
          <w:szCs w:val="22"/>
        </w:rPr>
        <w:t xml:space="preserve"> Allied Solutions</w:t>
      </w:r>
    </w:p>
    <w:p w14:paraId="471949CC" w14:textId="77777777" w:rsidR="007010AE" w:rsidRPr="007010AE" w:rsidRDefault="007010AE" w:rsidP="007010AE">
      <w:pPr>
        <w:pStyle w:val="1"/>
        <w:rPr>
          <w:rFonts w:asciiTheme="minorHAnsi" w:hAnsiTheme="minorHAnsi" w:cstheme="minorHAnsi"/>
          <w:sz w:val="22"/>
          <w:szCs w:val="22"/>
        </w:rPr>
      </w:pPr>
      <w:r w:rsidRPr="007010AE">
        <w:rPr>
          <w:rFonts w:asciiTheme="minorHAnsi" w:hAnsiTheme="minorHAnsi" w:cstheme="minorHAnsi"/>
          <w:sz w:val="22"/>
          <w:szCs w:val="22"/>
        </w:rPr>
        <w:t xml:space="preserve">Nr. 3, Jalan </w:t>
      </w:r>
      <w:proofErr w:type="spellStart"/>
      <w:r w:rsidRPr="007010AE">
        <w:rPr>
          <w:rFonts w:asciiTheme="minorHAnsi" w:hAnsiTheme="minorHAnsi" w:cstheme="minorHAnsi"/>
          <w:sz w:val="22"/>
          <w:szCs w:val="22"/>
        </w:rPr>
        <w:t>Zarib</w:t>
      </w:r>
      <w:proofErr w:type="spellEnd"/>
      <w:r w:rsidRPr="007010AE">
        <w:rPr>
          <w:rFonts w:asciiTheme="minorHAnsi" w:hAnsiTheme="minorHAnsi" w:cstheme="minorHAnsi"/>
          <w:sz w:val="22"/>
          <w:szCs w:val="22"/>
        </w:rPr>
        <w:t xml:space="preserve"> 6</w:t>
      </w:r>
    </w:p>
    <w:p w14:paraId="3030EFD3" w14:textId="77777777" w:rsidR="007010AE" w:rsidRPr="007010AE" w:rsidRDefault="007010AE" w:rsidP="007010AE">
      <w:pPr>
        <w:pStyle w:val="1"/>
        <w:rPr>
          <w:rFonts w:asciiTheme="minorHAnsi" w:hAnsiTheme="minorHAnsi" w:cstheme="minorHAnsi"/>
          <w:sz w:val="22"/>
          <w:szCs w:val="22"/>
        </w:rPr>
      </w:pPr>
      <w:r w:rsidRPr="007010AE">
        <w:rPr>
          <w:rFonts w:asciiTheme="minorHAnsi" w:hAnsiTheme="minorHAnsi" w:cstheme="minorHAnsi"/>
          <w:sz w:val="22"/>
          <w:szCs w:val="22"/>
        </w:rPr>
        <w:t xml:space="preserve">Kawasan Perindustrian </w:t>
      </w:r>
      <w:proofErr w:type="spellStart"/>
      <w:r w:rsidRPr="007010AE">
        <w:rPr>
          <w:rFonts w:asciiTheme="minorHAnsi" w:hAnsiTheme="minorHAnsi" w:cstheme="minorHAnsi"/>
          <w:sz w:val="22"/>
          <w:szCs w:val="22"/>
        </w:rPr>
        <w:t>Zarib</w:t>
      </w:r>
      <w:proofErr w:type="spellEnd"/>
    </w:p>
    <w:p w14:paraId="606D4DE3" w14:textId="77777777" w:rsidR="007010AE" w:rsidRPr="007010AE" w:rsidRDefault="007010AE" w:rsidP="007010AE">
      <w:pPr>
        <w:pStyle w:val="1"/>
        <w:rPr>
          <w:rFonts w:asciiTheme="minorHAnsi" w:hAnsiTheme="minorHAnsi" w:cstheme="minorHAnsi"/>
          <w:sz w:val="22"/>
          <w:szCs w:val="22"/>
        </w:rPr>
      </w:pPr>
      <w:r w:rsidRPr="007010AE">
        <w:rPr>
          <w:rFonts w:asciiTheme="minorHAnsi" w:hAnsiTheme="minorHAnsi" w:cstheme="minorHAnsi"/>
          <w:sz w:val="22"/>
          <w:szCs w:val="22"/>
        </w:rPr>
        <w:t>Ipoh Perak 31500</w:t>
      </w:r>
    </w:p>
    <w:p w14:paraId="6014614B" w14:textId="5C51EE4E" w:rsidR="00912F01" w:rsidRPr="007010AE" w:rsidRDefault="007010AE" w:rsidP="007010AE">
      <w:pPr>
        <w:pStyle w:val="1"/>
        <w:rPr>
          <w:rFonts w:asciiTheme="minorHAnsi" w:hAnsiTheme="minorHAnsi" w:cstheme="minorHAnsi"/>
          <w:sz w:val="22"/>
          <w:szCs w:val="22"/>
        </w:rPr>
      </w:pPr>
      <w:r w:rsidRPr="007010AE">
        <w:rPr>
          <w:rFonts w:asciiTheme="minorHAnsi" w:hAnsiTheme="minorHAnsi" w:cstheme="minorHAnsi"/>
          <w:sz w:val="22"/>
          <w:szCs w:val="22"/>
        </w:rPr>
        <w:t>Malaysia</w:t>
      </w:r>
    </w:p>
    <w:sectPr w:rsidR="00912F01" w:rsidRPr="007010AE" w:rsidSect="006421E2">
      <w:pgSz w:w="11906" w:h="16838"/>
      <w:pgMar w:top="1440" w:right="926" w:bottom="90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F5F35"/>
    <w:multiLevelType w:val="hybridMultilevel"/>
    <w:tmpl w:val="A0320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07"/>
    <w:rsid w:val="000071C6"/>
    <w:rsid w:val="00015C98"/>
    <w:rsid w:val="00121FBE"/>
    <w:rsid w:val="00171CFF"/>
    <w:rsid w:val="001C0D49"/>
    <w:rsid w:val="002279C3"/>
    <w:rsid w:val="002C5026"/>
    <w:rsid w:val="0030317A"/>
    <w:rsid w:val="003478C3"/>
    <w:rsid w:val="00373783"/>
    <w:rsid w:val="0043052C"/>
    <w:rsid w:val="004440FF"/>
    <w:rsid w:val="00492A92"/>
    <w:rsid w:val="004E7CA6"/>
    <w:rsid w:val="0057006F"/>
    <w:rsid w:val="005F117A"/>
    <w:rsid w:val="006421E2"/>
    <w:rsid w:val="006D2490"/>
    <w:rsid w:val="006E579B"/>
    <w:rsid w:val="007010AE"/>
    <w:rsid w:val="00761D82"/>
    <w:rsid w:val="00765A30"/>
    <w:rsid w:val="007B67FD"/>
    <w:rsid w:val="00823421"/>
    <w:rsid w:val="00847947"/>
    <w:rsid w:val="00854AFA"/>
    <w:rsid w:val="008C7D1F"/>
    <w:rsid w:val="00912F01"/>
    <w:rsid w:val="009871AA"/>
    <w:rsid w:val="009A6DB3"/>
    <w:rsid w:val="00A66E0A"/>
    <w:rsid w:val="00AD53DF"/>
    <w:rsid w:val="00AF25F9"/>
    <w:rsid w:val="00BD7444"/>
    <w:rsid w:val="00BF02C2"/>
    <w:rsid w:val="00BF295F"/>
    <w:rsid w:val="00D013F2"/>
    <w:rsid w:val="00D16F3C"/>
    <w:rsid w:val="00D74064"/>
    <w:rsid w:val="00DC7DAE"/>
    <w:rsid w:val="00DD0643"/>
    <w:rsid w:val="00DE0507"/>
    <w:rsid w:val="00E178A6"/>
    <w:rsid w:val="00F84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E9E0"/>
  <w15:chartTrackingRefBased/>
  <w15:docId w15:val="{C5505C20-A5B9-44FF-9185-CEA04628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507"/>
    <w:rPr>
      <w:color w:val="0563C1" w:themeColor="hyperlink"/>
      <w:u w:val="single"/>
    </w:rPr>
  </w:style>
  <w:style w:type="character" w:styleId="UnresolvedMention">
    <w:name w:val="Unresolved Mention"/>
    <w:basedOn w:val="DefaultParagraphFont"/>
    <w:uiPriority w:val="99"/>
    <w:semiHidden/>
    <w:unhideWhenUsed/>
    <w:rsid w:val="00DE0507"/>
    <w:rPr>
      <w:color w:val="605E5C"/>
      <w:shd w:val="clear" w:color="auto" w:fill="E1DFDD"/>
    </w:rPr>
  </w:style>
  <w:style w:type="table" w:styleId="TableGrid">
    <w:name w:val="Table Grid"/>
    <w:basedOn w:val="TableNormal"/>
    <w:uiPriority w:val="59"/>
    <w:rsid w:val="004E7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E0A"/>
    <w:pPr>
      <w:ind w:left="720"/>
      <w:contextualSpacing/>
    </w:pPr>
  </w:style>
  <w:style w:type="paragraph" w:styleId="NoSpacing">
    <w:name w:val="No Spacing"/>
    <w:uiPriority w:val="1"/>
    <w:qFormat/>
    <w:rsid w:val="008C7D1F"/>
    <w:pPr>
      <w:spacing w:after="0" w:line="240" w:lineRule="auto"/>
    </w:pPr>
  </w:style>
  <w:style w:type="character" w:styleId="FollowedHyperlink">
    <w:name w:val="FollowedHyperlink"/>
    <w:basedOn w:val="DefaultParagraphFont"/>
    <w:uiPriority w:val="99"/>
    <w:semiHidden/>
    <w:unhideWhenUsed/>
    <w:rsid w:val="006D2490"/>
    <w:rPr>
      <w:color w:val="954F72" w:themeColor="followedHyperlink"/>
      <w:u w:val="single"/>
    </w:rPr>
  </w:style>
  <w:style w:type="paragraph" w:styleId="BalloonText">
    <w:name w:val="Balloon Text"/>
    <w:basedOn w:val="Normal"/>
    <w:link w:val="BalloonTextChar"/>
    <w:uiPriority w:val="99"/>
    <w:semiHidden/>
    <w:unhideWhenUsed/>
    <w:rsid w:val="00007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1C6"/>
    <w:rPr>
      <w:rFonts w:ascii="Segoe UI" w:hAnsi="Segoe UI" w:cs="Segoe UI"/>
      <w:sz w:val="18"/>
      <w:szCs w:val="18"/>
    </w:rPr>
  </w:style>
  <w:style w:type="paragraph" w:customStyle="1" w:styleId="1">
    <w:name w:val="1"/>
    <w:basedOn w:val="Normal"/>
    <w:rsid w:val="00015C98"/>
    <w:pPr>
      <w:spacing w:after="0" w:line="240" w:lineRule="auto"/>
    </w:pPr>
    <w:rPr>
      <w:rFonts w:asciiTheme="majorHAnsi" w:eastAsiaTheme="minorEastAsia" w:hAnsiTheme="majorHAnsi"/>
      <w:sz w:val="24"/>
      <w:szCs w:val="24"/>
      <w:lang w:val="en-US" w:eastAsia="ja-JP"/>
    </w:rPr>
  </w:style>
  <w:style w:type="paragraph" w:styleId="HTMLPreformatted">
    <w:name w:val="HTML Preformatted"/>
    <w:basedOn w:val="Normal"/>
    <w:link w:val="HTMLPreformattedChar"/>
    <w:uiPriority w:val="99"/>
    <w:unhideWhenUsed/>
    <w:rsid w:val="0001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rsid w:val="00015C98"/>
    <w:rPr>
      <w:rFonts w:ascii="Courier New" w:eastAsia="Times New Roman" w:hAnsi="Courier New" w:cs="Courier New"/>
      <w:sz w:val="20"/>
      <w:szCs w:val="20"/>
      <w:lang w:val="es-ES" w:eastAsia="es-ES"/>
    </w:rPr>
  </w:style>
  <w:style w:type="paragraph" w:styleId="CommentText">
    <w:name w:val="annotation text"/>
    <w:basedOn w:val="Normal"/>
    <w:link w:val="CommentTextChar"/>
    <w:uiPriority w:val="99"/>
    <w:semiHidden/>
    <w:unhideWhenUsed/>
    <w:rsid w:val="007010AE"/>
    <w:pPr>
      <w:spacing w:after="200" w:line="240" w:lineRule="auto"/>
    </w:pPr>
    <w:rPr>
      <w:rFonts w:eastAsiaTheme="minorEastAsia"/>
      <w:sz w:val="24"/>
      <w:szCs w:val="24"/>
      <w:lang w:val="de-DE" w:eastAsia="ja-JP"/>
    </w:rPr>
  </w:style>
  <w:style w:type="character" w:customStyle="1" w:styleId="CommentTextChar">
    <w:name w:val="Comment Text Char"/>
    <w:basedOn w:val="DefaultParagraphFont"/>
    <w:link w:val="CommentText"/>
    <w:uiPriority w:val="99"/>
    <w:semiHidden/>
    <w:rsid w:val="007010AE"/>
    <w:rPr>
      <w:rFonts w:eastAsiaTheme="minorEastAsia"/>
      <w:sz w:val="24"/>
      <w:szCs w:val="24"/>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www.nuheara.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939D3B7A5D04D955B54DDB6029DE6" ma:contentTypeVersion="12" ma:contentTypeDescription="Create a new document." ma:contentTypeScope="" ma:versionID="7286726e5e3c5fa11c80944fb5802d93">
  <xsd:schema xmlns:xsd="http://www.w3.org/2001/XMLSchema" xmlns:xs="http://www.w3.org/2001/XMLSchema" xmlns:p="http://schemas.microsoft.com/office/2006/metadata/properties" xmlns:ns2="34a33a31-e79f-48b7-9aa1-032cc37837c5" xmlns:ns3="406ef8c2-e54e-4fcb-8f12-4a0267b6f31e" xmlns:ns4="dfd71e5c-6132-4a05-891a-e1f4812e455a" targetNamespace="http://schemas.microsoft.com/office/2006/metadata/properties" ma:root="true" ma:fieldsID="72e9374056dbccae6f3cd6783a85abd6" ns2:_="" ns3:_="" ns4:_="">
    <xsd:import namespace="34a33a31-e79f-48b7-9aa1-032cc37837c5"/>
    <xsd:import namespace="406ef8c2-e54e-4fcb-8f12-4a0267b6f31e"/>
    <xsd:import namespace="dfd71e5c-6132-4a05-891a-e1f4812e455a"/>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33a31-e79f-48b7-9aa1-032cc37837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ef8c2-e54e-4fcb-8f12-4a0267b6f31e"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d71e5c-6132-4a05-891a-e1f4812e455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D2D32-6167-4356-8197-5755FE931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33a31-e79f-48b7-9aa1-032cc37837c5"/>
    <ds:schemaRef ds:uri="406ef8c2-e54e-4fcb-8f12-4a0267b6f31e"/>
    <ds:schemaRef ds:uri="dfd71e5c-6132-4a05-891a-e1f4812e4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2EB84-622F-49B9-A90A-C0382D249F8E}">
  <ds:schemaRefs>
    <ds:schemaRef ds:uri="http://schemas.microsoft.com/sharepoint/v3/contenttype/forms"/>
  </ds:schemaRefs>
</ds:datastoreItem>
</file>

<file path=customXml/itemProps3.xml><?xml version="1.0" encoding="utf-8"?>
<ds:datastoreItem xmlns:ds="http://schemas.openxmlformats.org/officeDocument/2006/customXml" ds:itemID="{FA975CD0-B4FB-40BF-9DEE-AC72FD1A5A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541049-C39A-4C35-B66F-5AB5675E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Buonocore</dc:creator>
  <cp:keywords/>
  <dc:description/>
  <cp:lastModifiedBy>Michelle Anderton</cp:lastModifiedBy>
  <cp:revision>3</cp:revision>
  <cp:lastPrinted>2019-04-26T07:37:00Z</cp:lastPrinted>
  <dcterms:created xsi:type="dcterms:W3CDTF">2019-05-24T03:08:00Z</dcterms:created>
  <dcterms:modified xsi:type="dcterms:W3CDTF">2019-05-24T03:49:00Z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0x010100382939D3B7A5D04D955B54DDB6029DE6</vt:lpwstr>
  </property>
</Properties>
</file>