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76FBC" w14:textId="77777777" w:rsidR="006421E2" w:rsidRPr="00A75F1B" w:rsidRDefault="006421E2"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lang w:val="es-ES"/>
        </w:rPr>
      </w:pPr>
      <w:bookmarkStart w:id="0" w:name="_Hlk7186150"/>
      <w:proofErr w:type="spellStart"/>
      <w:r w:rsidRPr="00A75F1B">
        <w:rPr>
          <w:rFonts w:cstheme="minorHAnsi"/>
          <w:b/>
        </w:rPr>
        <w:t>Sicurezza</w:t>
      </w:r>
      <w:proofErr w:type="spellEnd"/>
      <w:r w:rsidRPr="00A75F1B">
        <w:rPr>
          <w:rFonts w:cstheme="minorHAnsi"/>
          <w:b/>
        </w:rPr>
        <w:t xml:space="preserve"> e </w:t>
      </w:r>
      <w:proofErr w:type="spellStart"/>
      <w:r w:rsidRPr="00A75F1B">
        <w:rPr>
          <w:rFonts w:cstheme="minorHAnsi"/>
          <w:b/>
        </w:rPr>
        <w:t>Gestione</w:t>
      </w:r>
      <w:proofErr w:type="spellEnd"/>
      <w:r w:rsidRPr="00A75F1B">
        <w:rPr>
          <w:rFonts w:cstheme="minorHAnsi"/>
          <w:b/>
          <w:lang w:val="es-ES"/>
        </w:rPr>
        <w:t xml:space="preserve"> </w:t>
      </w:r>
    </w:p>
    <w:bookmarkEnd w:id="0"/>
    <w:p w14:paraId="64D17C2C" w14:textId="27DA9219" w:rsidR="00015C98" w:rsidRPr="00A75F1B" w:rsidRDefault="006421E2"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Il Nuheara IQstream TV deve essere usato solo in ambienti interni</w:t>
      </w:r>
      <w:r w:rsidR="00015C98" w:rsidRPr="00A75F1B">
        <w:rPr>
          <w:rFonts w:cstheme="minorHAnsi"/>
          <w:lang w:val="es-ES"/>
        </w:rPr>
        <w:t>.</w:t>
      </w:r>
    </w:p>
    <w:p w14:paraId="5395901B" w14:textId="5195FE0B" w:rsidR="00015C98" w:rsidRPr="00A75F1B" w:rsidRDefault="006421E2"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Per operare in sicurezza non immergere il dispositivo in liquidi</w:t>
      </w:r>
      <w:r w:rsidR="00015C98" w:rsidRPr="00A75F1B">
        <w:rPr>
          <w:rFonts w:cstheme="minorHAnsi"/>
          <w:lang w:val="es-ES"/>
        </w:rPr>
        <w:t>.</w:t>
      </w:r>
    </w:p>
    <w:p w14:paraId="677CAEA6" w14:textId="354502A7" w:rsidR="006421E2" w:rsidRPr="00A75F1B" w:rsidRDefault="006421E2"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Alla fine della vita del dispositivo, eliminate IQstream TV al centro raccolta batterie ed oggetti elettronici usati.</w:t>
      </w:r>
      <w:r w:rsidRPr="00A75F1B">
        <w:rPr>
          <w:rFonts w:cstheme="minorHAnsi"/>
          <w:lang w:val="es-ES"/>
        </w:rPr>
        <w:t xml:space="preserve"> </w:t>
      </w:r>
    </w:p>
    <w:p w14:paraId="5B330E50" w14:textId="7F20FAF7" w:rsidR="006421E2" w:rsidRPr="00A75F1B" w:rsidRDefault="006421E2" w:rsidP="006421E2">
      <w:pPr>
        <w:pStyle w:val="1"/>
        <w:rPr>
          <w:rFonts w:asciiTheme="minorHAnsi" w:hAnsiTheme="minorHAnsi" w:cstheme="minorHAnsi"/>
          <w:sz w:val="22"/>
          <w:szCs w:val="22"/>
          <w:lang w:val="it-IT"/>
        </w:rPr>
      </w:pPr>
      <w:r w:rsidRPr="00A75F1B">
        <w:rPr>
          <w:rFonts w:asciiTheme="minorHAnsi" w:hAnsiTheme="minorHAnsi" w:cstheme="minorHAnsi"/>
          <w:sz w:val="22"/>
          <w:szCs w:val="22"/>
          <w:lang w:val="it-IT"/>
        </w:rPr>
        <w:t>La tensione nominale del dispositivo IQstream TV è da 4.40V a 5.25V</w:t>
      </w:r>
    </w:p>
    <w:p w14:paraId="2F48C72C" w14:textId="77777777" w:rsidR="006421E2" w:rsidRPr="00A75F1B" w:rsidRDefault="006421E2" w:rsidP="006421E2">
      <w:pPr>
        <w:pStyle w:val="1"/>
        <w:rPr>
          <w:rFonts w:asciiTheme="minorHAnsi" w:hAnsiTheme="minorHAnsi" w:cstheme="minorHAnsi"/>
          <w:sz w:val="22"/>
          <w:szCs w:val="22"/>
          <w:lang w:val="it-IT"/>
        </w:rPr>
      </w:pPr>
      <w:bookmarkStart w:id="1" w:name="_GoBack"/>
    </w:p>
    <w:bookmarkEnd w:id="1"/>
    <w:p w14:paraId="0CEC1502" w14:textId="0926EA9E" w:rsidR="00015C98" w:rsidRPr="00A75F1B" w:rsidRDefault="006421E2" w:rsidP="006421E2">
      <w:pPr>
        <w:pStyle w:val="1"/>
        <w:rPr>
          <w:rStyle w:val="Hyperlink"/>
          <w:rFonts w:asciiTheme="minorHAnsi" w:hAnsiTheme="minorHAnsi" w:cstheme="minorHAnsi"/>
          <w:sz w:val="22"/>
          <w:szCs w:val="22"/>
          <w:lang w:val="it-IT"/>
        </w:rPr>
      </w:pPr>
      <w:r w:rsidRPr="00A75F1B">
        <w:rPr>
          <w:rFonts w:asciiTheme="minorHAnsi" w:hAnsiTheme="minorHAnsi" w:cstheme="minorHAnsi"/>
          <w:sz w:val="22"/>
          <w:szCs w:val="22"/>
          <w:lang w:val="it-IT"/>
        </w:rPr>
        <w:t xml:space="preserve">Per assistenza ed informazioni sulla risoluzione dei problemi andate a: </w:t>
      </w:r>
      <w:hyperlink r:id="rId9" w:history="1">
        <w:r w:rsidRPr="00A75F1B">
          <w:rPr>
            <w:rStyle w:val="Hyperlink"/>
            <w:rFonts w:asciiTheme="minorHAnsi" w:hAnsiTheme="minorHAnsi" w:cstheme="minorHAnsi"/>
            <w:sz w:val="22"/>
            <w:szCs w:val="22"/>
            <w:lang w:val="it-IT"/>
          </w:rPr>
          <w:t>www.nuheara.com/support</w:t>
        </w:r>
      </w:hyperlink>
    </w:p>
    <w:p w14:paraId="7835E84E" w14:textId="3503657F" w:rsidR="006421E2" w:rsidRPr="00A75F1B" w:rsidRDefault="006421E2" w:rsidP="006421E2">
      <w:pPr>
        <w:pStyle w:val="1"/>
        <w:rPr>
          <w:rFonts w:asciiTheme="minorHAnsi" w:hAnsiTheme="minorHAnsi" w:cstheme="minorHAnsi"/>
          <w:sz w:val="22"/>
          <w:szCs w:val="22"/>
        </w:rPr>
      </w:pPr>
    </w:p>
    <w:p w14:paraId="5E599885" w14:textId="77777777" w:rsidR="006421E2" w:rsidRPr="00A75F1B" w:rsidRDefault="006421E2" w:rsidP="006421E2">
      <w:pPr>
        <w:pStyle w:val="1"/>
        <w:rPr>
          <w:rFonts w:asciiTheme="minorHAnsi" w:hAnsiTheme="minorHAnsi" w:cstheme="minorHAnsi"/>
          <w:sz w:val="22"/>
          <w:szCs w:val="22"/>
        </w:rPr>
      </w:pPr>
    </w:p>
    <w:p w14:paraId="779FB4A8" w14:textId="77777777" w:rsidR="006421E2" w:rsidRPr="00A75F1B" w:rsidRDefault="006421E2" w:rsidP="006421E2">
      <w:pPr>
        <w:pStyle w:val="1"/>
        <w:rPr>
          <w:rFonts w:asciiTheme="minorHAnsi" w:hAnsiTheme="minorHAnsi" w:cstheme="minorHAnsi"/>
          <w:b/>
          <w:sz w:val="22"/>
          <w:szCs w:val="22"/>
          <w:lang w:val="it-IT"/>
        </w:rPr>
      </w:pPr>
      <w:r w:rsidRPr="00A75F1B">
        <w:rPr>
          <w:rFonts w:asciiTheme="minorHAnsi" w:hAnsiTheme="minorHAnsi" w:cstheme="minorHAnsi"/>
          <w:b/>
          <w:sz w:val="22"/>
          <w:szCs w:val="22"/>
          <w:lang w:val="it-IT"/>
        </w:rPr>
        <w:t>Informazioni su come disfarsi per utenti di attrezzature elettriche ed elettroniche di scarto (WEEE)</w:t>
      </w:r>
    </w:p>
    <w:p w14:paraId="095FC7D4" w14:textId="77777777" w:rsidR="006421E2" w:rsidRPr="00A75F1B" w:rsidRDefault="006421E2"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p>
    <w:p w14:paraId="5F1FF304" w14:textId="77777777" w:rsidR="006421E2" w:rsidRPr="00A75F1B" w:rsidRDefault="006421E2" w:rsidP="006421E2">
      <w:pPr>
        <w:pStyle w:val="1"/>
        <w:rPr>
          <w:rFonts w:asciiTheme="minorHAnsi" w:hAnsiTheme="minorHAnsi" w:cstheme="minorHAnsi"/>
          <w:sz w:val="22"/>
          <w:szCs w:val="22"/>
          <w:lang w:val="it-IT"/>
        </w:rPr>
      </w:pPr>
      <w:r w:rsidRPr="00A75F1B">
        <w:rPr>
          <w:rFonts w:asciiTheme="minorHAnsi" w:hAnsiTheme="minorHAnsi" w:cstheme="minorHAnsi"/>
          <w:sz w:val="22"/>
          <w:szCs w:val="22"/>
          <w:lang w:val="it-IT"/>
        </w:rPr>
        <w:t>Le attrezzature elettriche ed elettroniche usate non devono essere mischiate con i rifiuti domestici. Per trattamento, recupero e riciclaggio giusto portatele nei punti prestabiliti di raccolta dove saranno accettate gratuitamente.</w:t>
      </w:r>
    </w:p>
    <w:p w14:paraId="3CBA3CD1" w14:textId="4FBBF9DD" w:rsidR="006421E2" w:rsidRPr="00A75F1B" w:rsidRDefault="006421E2"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p>
    <w:p w14:paraId="54EB3E43" w14:textId="014EF82F" w:rsidR="00015C98" w:rsidRPr="00A75F1B" w:rsidRDefault="006421E2"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Altrimenti, in alcuni paesi potreste essere in grado di riportare i vostri prodotti al negoziante locale al momento dell’acquisto di un prodotto nuovo equivalente</w:t>
      </w:r>
      <w:r w:rsidR="00015C98" w:rsidRPr="00A75F1B">
        <w:rPr>
          <w:rFonts w:cstheme="minorHAnsi"/>
          <w:lang w:val="es-ES"/>
        </w:rPr>
        <w:t>.</w:t>
      </w:r>
    </w:p>
    <w:p w14:paraId="24B52A05" w14:textId="77777777" w:rsidR="00765A30" w:rsidRPr="00A75F1B" w:rsidRDefault="00765A30" w:rsidP="00765A30">
      <w:pPr>
        <w:pStyle w:val="1"/>
        <w:rPr>
          <w:rFonts w:asciiTheme="minorHAnsi" w:hAnsiTheme="minorHAnsi" w:cstheme="minorHAnsi"/>
          <w:sz w:val="22"/>
          <w:szCs w:val="22"/>
          <w:lang w:val="it-IT"/>
        </w:rPr>
      </w:pPr>
      <w:r w:rsidRPr="00A75F1B">
        <w:rPr>
          <w:rFonts w:asciiTheme="minorHAnsi" w:hAnsiTheme="minorHAnsi" w:cstheme="minorHAnsi"/>
          <w:sz w:val="22"/>
          <w:szCs w:val="22"/>
          <w:lang w:val="it-IT"/>
        </w:rPr>
        <w:t xml:space="preserve">Eliminare questi prodotti correttamente aiuterà a salvare risorse preziose ed a prevenire potenziali effetti negativi sulla salute umana e sull’ambiente, che altrimenti potrebbero derivare da una gestione impropria dei rifiuti. </w:t>
      </w:r>
    </w:p>
    <w:p w14:paraId="6D4C9FA7" w14:textId="77777777" w:rsidR="00765A30" w:rsidRPr="00A75F1B" w:rsidRDefault="00765A30"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p>
    <w:p w14:paraId="72E461D2" w14:textId="46D0763D" w:rsidR="00015C98" w:rsidRPr="00A75F1B" w:rsidRDefault="00765A30"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Contattate le vostre autorità locali per ulteriori informazioni sul centro di raccolta più vicino a voi</w:t>
      </w:r>
      <w:r w:rsidR="00015C98" w:rsidRPr="00A75F1B">
        <w:rPr>
          <w:rFonts w:cstheme="minorHAnsi"/>
          <w:lang w:val="es-ES"/>
        </w:rPr>
        <w:t>.</w:t>
      </w:r>
    </w:p>
    <w:p w14:paraId="515A2CEA" w14:textId="28C1718C" w:rsidR="00015C98" w:rsidRPr="00A75F1B" w:rsidRDefault="00765A30" w:rsidP="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it-IT"/>
        </w:rPr>
      </w:pPr>
      <w:r w:rsidRPr="00A75F1B">
        <w:rPr>
          <w:rFonts w:cstheme="minorHAnsi"/>
          <w:lang w:val="it-IT"/>
        </w:rPr>
        <w:t>Ci possono essere delle sanzioni per lo smaltimento scorretto di questi rifiuti a seconda della vostra legislazione nazionale.</w:t>
      </w:r>
    </w:p>
    <w:p w14:paraId="202DCF0B" w14:textId="77777777" w:rsidR="00765A30" w:rsidRPr="00A75F1B" w:rsidRDefault="00765A30" w:rsidP="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p>
    <w:p w14:paraId="7F69D484" w14:textId="77777777" w:rsidR="00765A30" w:rsidRPr="00A75F1B" w:rsidRDefault="00765A30" w:rsidP="00765A30">
      <w:pPr>
        <w:pStyle w:val="1"/>
        <w:rPr>
          <w:rFonts w:asciiTheme="minorHAnsi" w:hAnsiTheme="minorHAnsi" w:cstheme="minorHAnsi"/>
          <w:b/>
          <w:sz w:val="22"/>
          <w:szCs w:val="22"/>
          <w:lang w:val="it-IT"/>
        </w:rPr>
      </w:pPr>
      <w:r w:rsidRPr="00A75F1B">
        <w:rPr>
          <w:rFonts w:asciiTheme="minorHAnsi" w:hAnsiTheme="minorHAnsi" w:cstheme="minorHAnsi"/>
          <w:b/>
          <w:sz w:val="22"/>
          <w:szCs w:val="22"/>
          <w:lang w:val="it-IT"/>
        </w:rPr>
        <w:t>Riepilogo della garanzia Nuheara IQstream TV</w:t>
      </w:r>
    </w:p>
    <w:p w14:paraId="2880EC26" w14:textId="77777777" w:rsidR="00765A30" w:rsidRPr="00A75F1B" w:rsidRDefault="00765A30"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p>
    <w:p w14:paraId="4B930513" w14:textId="77D0A803" w:rsidR="00015C98" w:rsidRPr="00A75F1B" w:rsidRDefault="00765A30"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 xml:space="preserve">I vostri prodotti sono garantiti contro difetti di materiali e di lavorazione per il periodo di garanzia dalla data di acquisto (se acquistati da un negoziante Nuheara autorizzato) o dalla data di acquisto se comprati sul sito Nuheara </w:t>
      </w:r>
      <w:r w:rsidRPr="00A75F1B">
        <w:rPr>
          <w:rFonts w:cstheme="minorHAnsi"/>
          <w:lang w:val="it-IT"/>
        </w:rPr>
        <w:fldChar w:fldCharType="begin"/>
      </w:r>
      <w:r w:rsidRPr="00A75F1B">
        <w:rPr>
          <w:rFonts w:cstheme="minorHAnsi"/>
          <w:lang w:val="it-IT"/>
        </w:rPr>
        <w:instrText xml:space="preserve"> HYPERLINK "http://www.nuheara.com" </w:instrText>
      </w:r>
      <w:r w:rsidRPr="00A75F1B">
        <w:rPr>
          <w:rFonts w:cstheme="minorHAnsi"/>
          <w:lang w:val="it-IT"/>
        </w:rPr>
        <w:fldChar w:fldCharType="separate"/>
      </w:r>
      <w:r w:rsidRPr="00A75F1B">
        <w:rPr>
          <w:rStyle w:val="Hyperlink"/>
          <w:rFonts w:cstheme="minorHAnsi"/>
          <w:lang w:val="it-IT"/>
        </w:rPr>
        <w:t>www.nuheara.com</w:t>
      </w:r>
      <w:r w:rsidRPr="00A75F1B">
        <w:rPr>
          <w:rFonts w:cstheme="minorHAnsi"/>
          <w:lang w:val="it-IT"/>
        </w:rPr>
        <w:fldChar w:fldCharType="end"/>
      </w:r>
      <w:r w:rsidRPr="00A75F1B">
        <w:rPr>
          <w:rFonts w:cstheme="minorHAnsi"/>
          <w:lang w:val="it-IT"/>
        </w:rPr>
        <w:t xml:space="preserve"> ed usati secondo la documentazione sull’uso</w:t>
      </w:r>
      <w:r w:rsidR="00015C98" w:rsidRPr="00A75F1B">
        <w:rPr>
          <w:rFonts w:cstheme="minorHAnsi"/>
          <w:lang w:val="es-ES"/>
        </w:rPr>
        <w:t>.</w:t>
      </w:r>
    </w:p>
    <w:p w14:paraId="3D05C8BD" w14:textId="77777777" w:rsidR="00765A30" w:rsidRPr="00A75F1B" w:rsidRDefault="00765A30" w:rsidP="00765A30">
      <w:pPr>
        <w:pStyle w:val="1"/>
        <w:rPr>
          <w:rFonts w:asciiTheme="minorHAnsi" w:hAnsiTheme="minorHAnsi" w:cstheme="minorHAnsi"/>
          <w:sz w:val="22"/>
          <w:szCs w:val="22"/>
          <w:lang w:val="it-IT"/>
        </w:rPr>
      </w:pPr>
      <w:r w:rsidRPr="00A75F1B">
        <w:rPr>
          <w:rFonts w:asciiTheme="minorHAnsi" w:hAnsiTheme="minorHAnsi" w:cstheme="minorHAnsi"/>
          <w:sz w:val="22"/>
          <w:szCs w:val="22"/>
          <w:lang w:val="it-IT"/>
        </w:rPr>
        <w:t>Il periodo di garanzia è un anno o il periodo minimo stabilito dalla normativa del paese di vendita.</w:t>
      </w:r>
    </w:p>
    <w:p w14:paraId="788D69AC" w14:textId="77777777" w:rsidR="00765A30" w:rsidRPr="00A75F1B" w:rsidRDefault="00765A30"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p>
    <w:p w14:paraId="4035EF1F" w14:textId="77777777" w:rsidR="006E579B" w:rsidRPr="00A75F1B" w:rsidRDefault="00E178A6"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Se il prodotto viene permutato, il rimpiazzo diventa vostra proprietà ed il Prodotto diventa proprietà di Nuheara. Quando viene dato un rimborso, il Prodotto diventa proprietà di Nuheara</w:t>
      </w:r>
      <w:r w:rsidRPr="00A75F1B">
        <w:rPr>
          <w:rFonts w:cstheme="minorHAnsi"/>
          <w:lang w:val="es-ES"/>
        </w:rPr>
        <w:t xml:space="preserve"> </w:t>
      </w:r>
    </w:p>
    <w:p w14:paraId="77C5D488" w14:textId="649AAB6D" w:rsidR="00015C98" w:rsidRPr="00A75F1B" w:rsidRDefault="006E579B"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Questa garanzia esclude difetti dovuti a normale usura, cattivo uso, danni di spedizione o mancanza di uso del prodotto secondo le istruzioni. Questa garanzia e nulla in caso di riparazioni o modifiche non autorizzate o rimozione o sfregio delle etichette del prodotto</w:t>
      </w:r>
      <w:r w:rsidR="00015C98" w:rsidRPr="00A75F1B">
        <w:rPr>
          <w:rFonts w:cstheme="minorHAnsi"/>
          <w:lang w:val="es-ES"/>
        </w:rPr>
        <w:t>.</w:t>
      </w:r>
    </w:p>
    <w:p w14:paraId="1A7333B1" w14:textId="77777777" w:rsidR="006E579B" w:rsidRPr="00A75F1B" w:rsidRDefault="006E579B"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it-IT"/>
        </w:rPr>
      </w:pPr>
      <w:r w:rsidRPr="00A75F1B">
        <w:rPr>
          <w:rFonts w:cstheme="minorHAnsi"/>
          <w:lang w:val="it-IT"/>
        </w:rPr>
        <w:t>Tranne nella misura vietata dalle rilevanti leggi statali, Nuheara non è resposnsabile per danni conseguenti, incidentali, diretti o speciali causati direttamente o indirettamente da tali prodotti, il loro uso o mancanza di esso, sia che si basi su infrazione di garanzia, negligenza, responsabilità stretta, illecito o quant’altro</w:t>
      </w:r>
    </w:p>
    <w:p w14:paraId="69C8E2AC" w14:textId="0DAEFBA5" w:rsidR="00015C98" w:rsidRPr="00A75F1B" w:rsidRDefault="006E579B" w:rsidP="006E579B">
      <w:pPr>
        <w:pStyle w:val="1"/>
        <w:rPr>
          <w:rFonts w:asciiTheme="minorHAnsi" w:hAnsiTheme="minorHAnsi" w:cstheme="minorHAnsi"/>
          <w:sz w:val="22"/>
          <w:szCs w:val="22"/>
          <w:lang w:val="it-IT"/>
        </w:rPr>
      </w:pPr>
      <w:r w:rsidRPr="00A75F1B">
        <w:rPr>
          <w:rFonts w:asciiTheme="minorHAnsi" w:hAnsiTheme="minorHAnsi" w:cstheme="minorHAnsi"/>
          <w:sz w:val="22"/>
          <w:szCs w:val="22"/>
          <w:lang w:val="it-IT"/>
        </w:rPr>
        <w:lastRenderedPageBreak/>
        <w:t>Nessun rivenditore, agente o dipendente di Nuheara è autorizzato a modificare, estendere o aggiungere a questa garanzia.</w:t>
      </w:r>
    </w:p>
    <w:p w14:paraId="0CF89261" w14:textId="77777777" w:rsidR="006E579B" w:rsidRPr="00A75F1B" w:rsidRDefault="006E579B" w:rsidP="006E579B">
      <w:pPr>
        <w:pStyle w:val="1"/>
        <w:rPr>
          <w:rFonts w:asciiTheme="minorHAnsi" w:hAnsiTheme="minorHAnsi" w:cstheme="minorHAnsi"/>
          <w:sz w:val="22"/>
          <w:szCs w:val="22"/>
          <w:lang w:val="it-IT"/>
        </w:rPr>
      </w:pPr>
    </w:p>
    <w:p w14:paraId="5AACBF58" w14:textId="10EA539C" w:rsidR="00015C98" w:rsidRPr="00A75F1B" w:rsidRDefault="006E579B"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Alcuni stati e paesi non permettono limitazioni sulla durata delle garanzia, dei delle condizioni e/o dei termini impliciti, per cui le limitazioni suddette potrebbero non riguardarvi. Questa garanzia viene offerta in aggiunta ai diritti e riparazioni dati al consumatore dalla legislazione e normativa che non possono essere rinunciate per legge e che non influenzano i vostri diritti legali. Nella misura in cui la legge lo permette, la durata di ogni garanzia implicita sarà di un anno.</w:t>
      </w:r>
    </w:p>
    <w:p w14:paraId="30356B29" w14:textId="372E3538" w:rsidR="00015C98" w:rsidRPr="00A75F1B" w:rsidRDefault="006E579B" w:rsidP="003E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it-IT"/>
        </w:rPr>
        <w:t>Per i consumatori australiani: I nostri prodotti hanno garanzie che non possono essere escluse dalla normativa australiana. Avete diritto a sostituzione o a rimborso per un grave fallimento e a compenso per qualunque altro danno o perdita prevedibile. Avete anche diritto alla riparazione del prodotto se non è di qualità accettabile ed il fallimento non ammonta ad ungrave errore</w:t>
      </w:r>
      <w:r w:rsidR="00015C98" w:rsidRPr="00A75F1B">
        <w:rPr>
          <w:rFonts w:cstheme="minorHAnsi"/>
          <w:lang w:val="es-ES"/>
        </w:rPr>
        <w:t>.</w:t>
      </w:r>
    </w:p>
    <w:p w14:paraId="0C5CD5B8" w14:textId="712F6EC7" w:rsidR="00015C98" w:rsidRPr="00A75F1B" w:rsidRDefault="006E579B" w:rsidP="003E03C5">
      <w:pPr>
        <w:pStyle w:val="HTMLPreformatted"/>
        <w:rPr>
          <w:rFonts w:asciiTheme="minorHAnsi" w:hAnsiTheme="minorHAnsi" w:cstheme="minorHAnsi"/>
          <w:sz w:val="22"/>
          <w:szCs w:val="22"/>
        </w:rPr>
      </w:pPr>
      <w:r w:rsidRPr="00A75F1B">
        <w:rPr>
          <w:rFonts w:asciiTheme="minorHAnsi" w:hAnsiTheme="minorHAnsi" w:cstheme="minorHAnsi"/>
          <w:sz w:val="22"/>
          <w:szCs w:val="22"/>
          <w:lang w:val="it-IT"/>
        </w:rPr>
        <w:t>Per tutti i termini e le condizioni della garanzia visitate: http://www.nuheara.com/Nuheara-warranty/</w:t>
      </w:r>
      <w:r w:rsidR="00015C98" w:rsidRPr="00A75F1B">
        <w:rPr>
          <w:rFonts w:asciiTheme="minorHAnsi" w:eastAsiaTheme="minorEastAsia" w:hAnsiTheme="minorHAnsi" w:cstheme="minorHAnsi"/>
          <w:sz w:val="22"/>
          <w:szCs w:val="22"/>
          <w:lang w:eastAsia="ja-JP"/>
        </w:rPr>
        <w:t xml:space="preserve"> </w:t>
      </w:r>
    </w:p>
    <w:p w14:paraId="78B23083" w14:textId="77777777" w:rsidR="00015C98" w:rsidRPr="00A75F1B" w:rsidRDefault="00015C98">
      <w:pPr>
        <w:rPr>
          <w:rFonts w:cstheme="minorHAnsi"/>
          <w:b/>
        </w:rPr>
      </w:pPr>
    </w:p>
    <w:p w14:paraId="46DCE67C" w14:textId="033B0E21" w:rsidR="003478C3" w:rsidRPr="00A75F1B" w:rsidRDefault="006E579B">
      <w:pPr>
        <w:rPr>
          <w:rFonts w:cstheme="minorHAnsi"/>
          <w:b/>
        </w:rPr>
      </w:pPr>
      <w:proofErr w:type="spellStart"/>
      <w:r w:rsidRPr="00A75F1B">
        <w:rPr>
          <w:rFonts w:cstheme="minorHAnsi"/>
          <w:b/>
        </w:rPr>
        <w:t>Conformità</w:t>
      </w:r>
      <w:proofErr w:type="spellEnd"/>
      <w:r w:rsidRPr="00A75F1B">
        <w:rPr>
          <w:rFonts w:cstheme="minorHAnsi"/>
          <w:b/>
        </w:rPr>
        <w:t xml:space="preserve"> </w:t>
      </w:r>
      <w:proofErr w:type="spellStart"/>
      <w:r w:rsidRPr="00A75F1B">
        <w:rPr>
          <w:rFonts w:cstheme="minorHAnsi"/>
          <w:b/>
        </w:rPr>
        <w:t>normativa</w:t>
      </w:r>
      <w:proofErr w:type="spellEnd"/>
    </w:p>
    <w:tbl>
      <w:tblPr>
        <w:tblStyle w:val="TableGrid"/>
        <w:tblW w:w="9895" w:type="dxa"/>
        <w:tblLook w:val="04A0" w:firstRow="1" w:lastRow="0" w:firstColumn="1" w:lastColumn="0" w:noHBand="0" w:noVBand="1"/>
      </w:tblPr>
      <w:tblGrid>
        <w:gridCol w:w="1555"/>
        <w:gridCol w:w="5280"/>
        <w:gridCol w:w="3060"/>
      </w:tblGrid>
      <w:tr w:rsidR="00015C98" w:rsidRPr="00A75F1B" w14:paraId="20A1A5DC" w14:textId="77777777" w:rsidTr="00823421">
        <w:trPr>
          <w:cantSplit/>
          <w:tblHeader/>
        </w:trPr>
        <w:tc>
          <w:tcPr>
            <w:tcW w:w="1555" w:type="dxa"/>
          </w:tcPr>
          <w:p w14:paraId="575786BD" w14:textId="771DD4A9" w:rsidR="00015C98" w:rsidRPr="00A75F1B" w:rsidRDefault="00015C98" w:rsidP="00015C98">
            <w:pPr>
              <w:rPr>
                <w:rFonts w:cstheme="minorHAnsi"/>
                <w:b/>
              </w:rPr>
            </w:pPr>
            <w:proofErr w:type="spellStart"/>
            <w:r w:rsidRPr="00A75F1B">
              <w:rPr>
                <w:rFonts w:cstheme="minorHAnsi"/>
                <w:b/>
                <w:lang w:val="es-ES"/>
              </w:rPr>
              <w:t>Pa</w:t>
            </w:r>
            <w:r w:rsidR="006E579B" w:rsidRPr="00A75F1B">
              <w:rPr>
                <w:rFonts w:cstheme="minorHAnsi"/>
                <w:b/>
                <w:lang w:val="es-ES"/>
              </w:rPr>
              <w:t>esi</w:t>
            </w:r>
            <w:proofErr w:type="spellEnd"/>
          </w:p>
        </w:tc>
        <w:tc>
          <w:tcPr>
            <w:tcW w:w="5280" w:type="dxa"/>
          </w:tcPr>
          <w:p w14:paraId="53D8D76D" w14:textId="34812F92" w:rsidR="00015C98" w:rsidRPr="00A75F1B" w:rsidRDefault="006E579B" w:rsidP="00015C98">
            <w:pPr>
              <w:rPr>
                <w:rFonts w:cstheme="minorHAnsi"/>
                <w:b/>
              </w:rPr>
            </w:pPr>
            <w:r w:rsidRPr="00A75F1B">
              <w:rPr>
                <w:rFonts w:cstheme="minorHAnsi"/>
                <w:b/>
              </w:rPr>
              <w:t xml:space="preserve">Tipo di </w:t>
            </w:r>
            <w:proofErr w:type="spellStart"/>
            <w:r w:rsidRPr="00A75F1B">
              <w:rPr>
                <w:rFonts w:cstheme="minorHAnsi"/>
                <w:b/>
              </w:rPr>
              <w:t>approvazione</w:t>
            </w:r>
            <w:proofErr w:type="spellEnd"/>
          </w:p>
        </w:tc>
        <w:tc>
          <w:tcPr>
            <w:tcW w:w="3060" w:type="dxa"/>
          </w:tcPr>
          <w:p w14:paraId="40CD5779" w14:textId="7DE3F067" w:rsidR="00015C98" w:rsidRPr="00A75F1B" w:rsidRDefault="006E579B" w:rsidP="00015C98">
            <w:pPr>
              <w:rPr>
                <w:rFonts w:cstheme="minorHAnsi"/>
                <w:b/>
              </w:rPr>
            </w:pPr>
            <w:proofErr w:type="spellStart"/>
            <w:r w:rsidRPr="00A75F1B">
              <w:rPr>
                <w:rFonts w:cstheme="minorHAnsi"/>
                <w:b/>
              </w:rPr>
              <w:t>Marchio</w:t>
            </w:r>
            <w:proofErr w:type="spellEnd"/>
            <w:r w:rsidRPr="00A75F1B">
              <w:rPr>
                <w:rFonts w:cstheme="minorHAnsi"/>
                <w:b/>
              </w:rPr>
              <w:t xml:space="preserve"> </w:t>
            </w:r>
            <w:proofErr w:type="spellStart"/>
            <w:r w:rsidRPr="00A75F1B">
              <w:rPr>
                <w:rFonts w:cstheme="minorHAnsi"/>
                <w:b/>
              </w:rPr>
              <w:t>regolamentare</w:t>
            </w:r>
            <w:proofErr w:type="spellEnd"/>
            <w:r w:rsidRPr="00A75F1B">
              <w:rPr>
                <w:rFonts w:cstheme="minorHAnsi"/>
                <w:b/>
              </w:rPr>
              <w:t xml:space="preserve"> / Logo</w:t>
            </w:r>
          </w:p>
        </w:tc>
      </w:tr>
      <w:tr w:rsidR="00015C98" w:rsidRPr="00A75F1B" w14:paraId="3800019F" w14:textId="77777777" w:rsidTr="00823421">
        <w:tc>
          <w:tcPr>
            <w:tcW w:w="1555" w:type="dxa"/>
          </w:tcPr>
          <w:p w14:paraId="7464A7C9" w14:textId="565D7D91" w:rsidR="00015C98" w:rsidRPr="00A75F1B" w:rsidRDefault="00015C98" w:rsidP="00015C98">
            <w:pPr>
              <w:rPr>
                <w:rFonts w:cstheme="minorHAnsi"/>
              </w:rPr>
            </w:pPr>
            <w:r w:rsidRPr="00A75F1B">
              <w:rPr>
                <w:rFonts w:cstheme="minorHAnsi"/>
                <w:lang w:val="es-ES"/>
              </w:rPr>
              <w:t>Australia y Nueva Zelanda</w:t>
            </w:r>
          </w:p>
        </w:tc>
        <w:tc>
          <w:tcPr>
            <w:tcW w:w="5280" w:type="dxa"/>
          </w:tcPr>
          <w:p w14:paraId="5485B311" w14:textId="209411B3" w:rsidR="00015C98" w:rsidRPr="00A75F1B" w:rsidRDefault="00015C98" w:rsidP="00015C98">
            <w:pPr>
              <w:rPr>
                <w:rFonts w:cstheme="minorHAnsi"/>
              </w:rPr>
            </w:pPr>
            <w:r w:rsidRPr="00A75F1B">
              <w:rPr>
                <w:rFonts w:cstheme="minorHAnsi"/>
              </w:rPr>
              <w:t>ACMA / RSM</w:t>
            </w:r>
          </w:p>
        </w:tc>
        <w:tc>
          <w:tcPr>
            <w:tcW w:w="3060" w:type="dxa"/>
          </w:tcPr>
          <w:p w14:paraId="2833867E" w14:textId="77777777" w:rsidR="00015C98" w:rsidRPr="00A75F1B" w:rsidRDefault="00015C98" w:rsidP="00015C98">
            <w:pPr>
              <w:rPr>
                <w:rFonts w:cstheme="minorHAnsi"/>
              </w:rPr>
            </w:pPr>
          </w:p>
          <w:p w14:paraId="5BBB5827" w14:textId="77777777" w:rsidR="00015C98" w:rsidRPr="00A75F1B" w:rsidRDefault="00015C98" w:rsidP="00015C98">
            <w:pPr>
              <w:rPr>
                <w:rFonts w:cstheme="minorHAnsi"/>
              </w:rPr>
            </w:pPr>
            <w:r w:rsidRPr="00A75F1B">
              <w:rPr>
                <w:rFonts w:cstheme="minorHAnsi"/>
                <w:noProof/>
              </w:rPr>
              <w:drawing>
                <wp:inline distT="0" distB="0" distL="0" distR="0" wp14:anchorId="540CF208" wp14:editId="0303BFE0">
                  <wp:extent cx="952500" cy="5437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99359" cy="570450"/>
                          </a:xfrm>
                          <a:prstGeom prst="rect">
                            <a:avLst/>
                          </a:prstGeom>
                        </pic:spPr>
                      </pic:pic>
                    </a:graphicData>
                  </a:graphic>
                </wp:inline>
              </w:drawing>
            </w:r>
          </w:p>
          <w:p w14:paraId="3D31BBD7" w14:textId="77777777" w:rsidR="00015C98" w:rsidRPr="00A75F1B" w:rsidRDefault="00015C98" w:rsidP="00015C98">
            <w:pPr>
              <w:rPr>
                <w:rFonts w:cstheme="minorHAnsi"/>
              </w:rPr>
            </w:pPr>
          </w:p>
        </w:tc>
      </w:tr>
      <w:tr w:rsidR="00015C98" w:rsidRPr="00A75F1B" w14:paraId="34AFBAFC" w14:textId="77777777" w:rsidTr="00823421">
        <w:tc>
          <w:tcPr>
            <w:tcW w:w="1555" w:type="dxa"/>
          </w:tcPr>
          <w:p w14:paraId="734AF46B" w14:textId="390ADF5D" w:rsidR="00015C98" w:rsidRPr="00A75F1B" w:rsidRDefault="00015C98" w:rsidP="00015C98">
            <w:pPr>
              <w:rPr>
                <w:rFonts w:cstheme="minorHAnsi"/>
              </w:rPr>
            </w:pPr>
            <w:r w:rsidRPr="00A75F1B">
              <w:rPr>
                <w:rFonts w:cstheme="minorHAnsi"/>
                <w:lang w:val="es-ES"/>
              </w:rPr>
              <w:t>Canadá</w:t>
            </w:r>
          </w:p>
        </w:tc>
        <w:tc>
          <w:tcPr>
            <w:tcW w:w="5280" w:type="dxa"/>
          </w:tcPr>
          <w:p w14:paraId="2C0F224E" w14:textId="64F9EBF6" w:rsidR="00015C98" w:rsidRPr="00A75F1B" w:rsidRDefault="00823421" w:rsidP="00015C98">
            <w:pPr>
              <w:rPr>
                <w:rFonts w:cstheme="minorHAnsi"/>
              </w:rPr>
            </w:pPr>
            <w:proofErr w:type="spellStart"/>
            <w:r w:rsidRPr="00A75F1B">
              <w:rPr>
                <w:rFonts w:eastAsiaTheme="minorEastAsia" w:cstheme="minorHAnsi"/>
                <w:lang w:eastAsia="ja-JP"/>
              </w:rPr>
              <w:t>Declaración</w:t>
            </w:r>
            <w:proofErr w:type="spellEnd"/>
            <w:r w:rsidRPr="00A75F1B">
              <w:rPr>
                <w:rFonts w:eastAsiaTheme="minorEastAsia" w:cstheme="minorHAnsi"/>
                <w:lang w:eastAsia="ja-JP"/>
              </w:rPr>
              <w:t xml:space="preserve"> de </w:t>
            </w:r>
            <w:proofErr w:type="spellStart"/>
            <w:r w:rsidRPr="00A75F1B">
              <w:rPr>
                <w:rFonts w:eastAsiaTheme="minorEastAsia" w:cstheme="minorHAnsi"/>
                <w:lang w:eastAsia="ja-JP"/>
              </w:rPr>
              <w:t>cumplimiento</w:t>
            </w:r>
            <w:proofErr w:type="spellEnd"/>
            <w:r w:rsidRPr="00A75F1B">
              <w:rPr>
                <w:rFonts w:eastAsiaTheme="minorEastAsia" w:cstheme="minorHAnsi"/>
                <w:lang w:eastAsia="ja-JP"/>
              </w:rPr>
              <w:t xml:space="preserve"> IC. Este </w:t>
            </w:r>
            <w:proofErr w:type="spellStart"/>
            <w:r w:rsidRPr="00A75F1B">
              <w:rPr>
                <w:rFonts w:eastAsiaTheme="minorEastAsia" w:cstheme="minorHAnsi"/>
                <w:lang w:eastAsia="ja-JP"/>
              </w:rPr>
              <w:t>dispositivo</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cumple</w:t>
            </w:r>
            <w:proofErr w:type="spellEnd"/>
            <w:r w:rsidRPr="00A75F1B">
              <w:rPr>
                <w:rFonts w:eastAsiaTheme="minorEastAsia" w:cstheme="minorHAnsi"/>
                <w:lang w:eastAsia="ja-JP"/>
              </w:rPr>
              <w:t xml:space="preserve"> con los </w:t>
            </w:r>
            <w:proofErr w:type="spellStart"/>
            <w:r w:rsidRPr="00A75F1B">
              <w:rPr>
                <w:rFonts w:eastAsiaTheme="minorEastAsia" w:cstheme="minorHAnsi"/>
                <w:lang w:eastAsia="ja-JP"/>
              </w:rPr>
              <w:t>estándares</w:t>
            </w:r>
            <w:proofErr w:type="spellEnd"/>
            <w:r w:rsidRPr="00A75F1B">
              <w:rPr>
                <w:rFonts w:eastAsiaTheme="minorEastAsia" w:cstheme="minorHAnsi"/>
                <w:lang w:eastAsia="ja-JP"/>
              </w:rPr>
              <w:t xml:space="preserve"> RSS (</w:t>
            </w:r>
            <w:proofErr w:type="spellStart"/>
            <w:r w:rsidRPr="00A75F1B">
              <w:rPr>
                <w:rFonts w:eastAsiaTheme="minorEastAsia" w:cstheme="minorHAnsi"/>
                <w:lang w:eastAsia="ja-JP"/>
              </w:rPr>
              <w:t>exentos</w:t>
            </w:r>
            <w:proofErr w:type="spellEnd"/>
            <w:r w:rsidRPr="00A75F1B">
              <w:rPr>
                <w:rFonts w:eastAsiaTheme="minorEastAsia" w:cstheme="minorHAnsi"/>
                <w:lang w:eastAsia="ja-JP"/>
              </w:rPr>
              <w:t xml:space="preserve"> de </w:t>
            </w:r>
            <w:proofErr w:type="spellStart"/>
            <w:r w:rsidRPr="00A75F1B">
              <w:rPr>
                <w:rFonts w:eastAsiaTheme="minorEastAsia" w:cstheme="minorHAnsi"/>
                <w:lang w:eastAsia="ja-JP"/>
              </w:rPr>
              <w:t>licencia</w:t>
            </w:r>
            <w:proofErr w:type="spellEnd"/>
            <w:r w:rsidRPr="00A75F1B">
              <w:rPr>
                <w:rFonts w:eastAsiaTheme="minorEastAsia" w:cstheme="minorHAnsi"/>
                <w:lang w:eastAsia="ja-JP"/>
              </w:rPr>
              <w:t xml:space="preserve">) de la </w:t>
            </w:r>
            <w:proofErr w:type="spellStart"/>
            <w:r w:rsidRPr="00A75F1B">
              <w:rPr>
                <w:rFonts w:eastAsiaTheme="minorEastAsia" w:cstheme="minorHAnsi"/>
                <w:lang w:eastAsia="ja-JP"/>
              </w:rPr>
              <w:t>Industria</w:t>
            </w:r>
            <w:proofErr w:type="spellEnd"/>
            <w:r w:rsidRPr="00A75F1B">
              <w:rPr>
                <w:rFonts w:eastAsiaTheme="minorEastAsia" w:cstheme="minorHAnsi"/>
                <w:lang w:eastAsia="ja-JP"/>
              </w:rPr>
              <w:t xml:space="preserve"> de </w:t>
            </w:r>
            <w:proofErr w:type="spellStart"/>
            <w:r w:rsidRPr="00A75F1B">
              <w:rPr>
                <w:rFonts w:eastAsiaTheme="minorEastAsia" w:cstheme="minorHAnsi"/>
                <w:lang w:eastAsia="ja-JP"/>
              </w:rPr>
              <w:t>Canadá</w:t>
            </w:r>
            <w:proofErr w:type="spellEnd"/>
            <w:r w:rsidRPr="00A75F1B">
              <w:rPr>
                <w:rFonts w:eastAsiaTheme="minorEastAsia" w:cstheme="minorHAnsi"/>
                <w:lang w:eastAsia="ja-JP"/>
              </w:rPr>
              <w:t xml:space="preserve">. El </w:t>
            </w:r>
            <w:proofErr w:type="spellStart"/>
            <w:r w:rsidRPr="00A75F1B">
              <w:rPr>
                <w:rFonts w:eastAsiaTheme="minorEastAsia" w:cstheme="minorHAnsi"/>
                <w:lang w:eastAsia="ja-JP"/>
              </w:rPr>
              <w:t>funcionamiento</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está</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sujeto</w:t>
            </w:r>
            <w:proofErr w:type="spellEnd"/>
            <w:r w:rsidRPr="00A75F1B">
              <w:rPr>
                <w:rFonts w:eastAsiaTheme="minorEastAsia" w:cstheme="minorHAnsi"/>
                <w:lang w:eastAsia="ja-JP"/>
              </w:rPr>
              <w:t xml:space="preserve"> a las dos </w:t>
            </w:r>
            <w:proofErr w:type="spellStart"/>
            <w:r w:rsidRPr="00A75F1B">
              <w:rPr>
                <w:rFonts w:eastAsiaTheme="minorEastAsia" w:cstheme="minorHAnsi"/>
                <w:lang w:eastAsia="ja-JP"/>
              </w:rPr>
              <w:t>condiciones</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siguientes</w:t>
            </w:r>
            <w:proofErr w:type="spellEnd"/>
            <w:r w:rsidRPr="00A75F1B">
              <w:rPr>
                <w:rFonts w:eastAsiaTheme="minorEastAsia" w:cstheme="minorHAnsi"/>
                <w:lang w:eastAsia="ja-JP"/>
              </w:rPr>
              <w:t xml:space="preserve">: </w:t>
            </w:r>
            <w:r w:rsidRPr="00A75F1B">
              <w:rPr>
                <w:rFonts w:eastAsiaTheme="minorEastAsia" w:cstheme="minorHAnsi"/>
                <w:lang w:eastAsia="ja-JP"/>
              </w:rPr>
              <w:br/>
              <w:t xml:space="preserve">1. Este </w:t>
            </w:r>
            <w:proofErr w:type="spellStart"/>
            <w:r w:rsidRPr="00A75F1B">
              <w:rPr>
                <w:rFonts w:eastAsiaTheme="minorEastAsia" w:cstheme="minorHAnsi"/>
                <w:lang w:eastAsia="ja-JP"/>
              </w:rPr>
              <w:t>dispositivo</w:t>
            </w:r>
            <w:proofErr w:type="spellEnd"/>
            <w:r w:rsidRPr="00A75F1B">
              <w:rPr>
                <w:rFonts w:eastAsiaTheme="minorEastAsia" w:cstheme="minorHAnsi"/>
                <w:lang w:eastAsia="ja-JP"/>
              </w:rPr>
              <w:t xml:space="preserve"> no </w:t>
            </w:r>
            <w:proofErr w:type="spellStart"/>
            <w:r w:rsidRPr="00A75F1B">
              <w:rPr>
                <w:rFonts w:eastAsiaTheme="minorEastAsia" w:cstheme="minorHAnsi"/>
                <w:lang w:eastAsia="ja-JP"/>
              </w:rPr>
              <w:t>puede</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causar</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interferencias</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perjudiciales</w:t>
            </w:r>
            <w:proofErr w:type="spellEnd"/>
            <w:r w:rsidRPr="00A75F1B">
              <w:rPr>
                <w:rFonts w:eastAsiaTheme="minorEastAsia" w:cstheme="minorHAnsi"/>
                <w:lang w:eastAsia="ja-JP"/>
              </w:rPr>
              <w:t xml:space="preserve">, y </w:t>
            </w:r>
            <w:r w:rsidRPr="00A75F1B">
              <w:rPr>
                <w:rFonts w:eastAsiaTheme="minorEastAsia" w:cstheme="minorHAnsi"/>
                <w:lang w:eastAsia="ja-JP"/>
              </w:rPr>
              <w:br/>
              <w:t xml:space="preserve">2. Este </w:t>
            </w:r>
            <w:proofErr w:type="spellStart"/>
            <w:r w:rsidRPr="00A75F1B">
              <w:rPr>
                <w:rFonts w:eastAsiaTheme="minorEastAsia" w:cstheme="minorHAnsi"/>
                <w:lang w:eastAsia="ja-JP"/>
              </w:rPr>
              <w:t>dispositivo</w:t>
            </w:r>
            <w:proofErr w:type="spellEnd"/>
            <w:r w:rsidRPr="00A75F1B">
              <w:rPr>
                <w:rFonts w:eastAsiaTheme="minorEastAsia" w:cstheme="minorHAnsi"/>
                <w:lang w:eastAsia="ja-JP"/>
              </w:rPr>
              <w:t xml:space="preserve"> debe </w:t>
            </w:r>
            <w:proofErr w:type="spellStart"/>
            <w:r w:rsidRPr="00A75F1B">
              <w:rPr>
                <w:rFonts w:eastAsiaTheme="minorEastAsia" w:cstheme="minorHAnsi"/>
                <w:lang w:eastAsia="ja-JP"/>
              </w:rPr>
              <w:t>aceptar</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cualquier</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interferencia</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recibida</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incluidas</w:t>
            </w:r>
            <w:proofErr w:type="spellEnd"/>
            <w:r w:rsidRPr="00A75F1B">
              <w:rPr>
                <w:rFonts w:eastAsiaTheme="minorEastAsia" w:cstheme="minorHAnsi"/>
                <w:lang w:eastAsia="ja-JP"/>
              </w:rPr>
              <w:t xml:space="preserve"> las </w:t>
            </w:r>
            <w:proofErr w:type="spellStart"/>
            <w:r w:rsidRPr="00A75F1B">
              <w:rPr>
                <w:rFonts w:eastAsiaTheme="minorEastAsia" w:cstheme="minorHAnsi"/>
                <w:lang w:eastAsia="ja-JP"/>
              </w:rPr>
              <w:t>interferencias</w:t>
            </w:r>
            <w:proofErr w:type="spellEnd"/>
            <w:r w:rsidRPr="00A75F1B">
              <w:rPr>
                <w:rFonts w:eastAsiaTheme="minorEastAsia" w:cstheme="minorHAnsi"/>
                <w:lang w:eastAsia="ja-JP"/>
              </w:rPr>
              <w:t xml:space="preserve"> que </w:t>
            </w:r>
            <w:proofErr w:type="spellStart"/>
            <w:r w:rsidRPr="00A75F1B">
              <w:rPr>
                <w:rFonts w:eastAsiaTheme="minorEastAsia" w:cstheme="minorHAnsi"/>
                <w:lang w:eastAsia="ja-JP"/>
              </w:rPr>
              <w:t>puedan</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causar</w:t>
            </w:r>
            <w:proofErr w:type="spellEnd"/>
            <w:r w:rsidRPr="00A75F1B">
              <w:rPr>
                <w:rFonts w:eastAsiaTheme="minorEastAsia" w:cstheme="minorHAnsi"/>
                <w:lang w:eastAsia="ja-JP"/>
              </w:rPr>
              <w:t xml:space="preserve"> un </w:t>
            </w:r>
            <w:proofErr w:type="spellStart"/>
            <w:r w:rsidRPr="00A75F1B">
              <w:rPr>
                <w:rFonts w:eastAsiaTheme="minorEastAsia" w:cstheme="minorHAnsi"/>
                <w:lang w:eastAsia="ja-JP"/>
              </w:rPr>
              <w:t>funcionamiento</w:t>
            </w:r>
            <w:proofErr w:type="spellEnd"/>
            <w:r w:rsidRPr="00A75F1B">
              <w:rPr>
                <w:rFonts w:eastAsiaTheme="minorEastAsia" w:cstheme="minorHAnsi"/>
                <w:lang w:eastAsia="ja-JP"/>
              </w:rPr>
              <w:t xml:space="preserve"> no </w:t>
            </w:r>
            <w:proofErr w:type="spellStart"/>
            <w:r w:rsidRPr="00A75F1B">
              <w:rPr>
                <w:rFonts w:eastAsiaTheme="minorEastAsia" w:cstheme="minorHAnsi"/>
                <w:lang w:eastAsia="ja-JP"/>
              </w:rPr>
              <w:t>deseado</w:t>
            </w:r>
            <w:proofErr w:type="spellEnd"/>
            <w:r w:rsidRPr="00A75F1B">
              <w:rPr>
                <w:rFonts w:eastAsiaTheme="minorEastAsia" w:cstheme="minorHAnsi"/>
                <w:lang w:eastAsia="ja-JP"/>
              </w:rPr>
              <w:t xml:space="preserve">. CAN ICES-3 (B) / NMB-3 (B). Radio </w:t>
            </w:r>
            <w:proofErr w:type="spellStart"/>
            <w:r w:rsidRPr="00A75F1B">
              <w:rPr>
                <w:rFonts w:eastAsiaTheme="minorEastAsia" w:cstheme="minorHAnsi"/>
                <w:lang w:eastAsia="ja-JP"/>
              </w:rPr>
              <w:t>Exposición</w:t>
            </w:r>
            <w:proofErr w:type="spellEnd"/>
            <w:r w:rsidRPr="00A75F1B">
              <w:rPr>
                <w:rFonts w:eastAsiaTheme="minorEastAsia" w:cstheme="minorHAnsi"/>
                <w:lang w:eastAsia="ja-JP"/>
              </w:rPr>
              <w:t xml:space="preserve"> IC. Este </w:t>
            </w:r>
            <w:proofErr w:type="spellStart"/>
            <w:r w:rsidRPr="00A75F1B">
              <w:rPr>
                <w:rFonts w:eastAsiaTheme="minorEastAsia" w:cstheme="minorHAnsi"/>
                <w:lang w:eastAsia="ja-JP"/>
              </w:rPr>
              <w:t>equipo</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cumple</w:t>
            </w:r>
            <w:proofErr w:type="spellEnd"/>
            <w:r w:rsidRPr="00A75F1B">
              <w:rPr>
                <w:rFonts w:eastAsiaTheme="minorEastAsia" w:cstheme="minorHAnsi"/>
                <w:lang w:eastAsia="ja-JP"/>
              </w:rPr>
              <w:t xml:space="preserve"> con los </w:t>
            </w:r>
            <w:proofErr w:type="spellStart"/>
            <w:r w:rsidRPr="00A75F1B">
              <w:rPr>
                <w:rFonts w:eastAsiaTheme="minorEastAsia" w:cstheme="minorHAnsi"/>
                <w:lang w:eastAsia="ja-JP"/>
              </w:rPr>
              <w:t>límites</w:t>
            </w:r>
            <w:proofErr w:type="spellEnd"/>
            <w:r w:rsidRPr="00A75F1B">
              <w:rPr>
                <w:rFonts w:eastAsiaTheme="minorEastAsia" w:cstheme="minorHAnsi"/>
                <w:lang w:eastAsia="ja-JP"/>
              </w:rPr>
              <w:t xml:space="preserve"> de </w:t>
            </w:r>
            <w:proofErr w:type="spellStart"/>
            <w:r w:rsidRPr="00A75F1B">
              <w:rPr>
                <w:rFonts w:eastAsiaTheme="minorEastAsia" w:cstheme="minorHAnsi"/>
                <w:lang w:eastAsia="ja-JP"/>
              </w:rPr>
              <w:t>exposición</w:t>
            </w:r>
            <w:proofErr w:type="spellEnd"/>
            <w:r w:rsidRPr="00A75F1B">
              <w:rPr>
                <w:rFonts w:eastAsiaTheme="minorEastAsia" w:cstheme="minorHAnsi"/>
                <w:lang w:eastAsia="ja-JP"/>
              </w:rPr>
              <w:t xml:space="preserve"> a la </w:t>
            </w:r>
            <w:proofErr w:type="spellStart"/>
            <w:r w:rsidRPr="00A75F1B">
              <w:rPr>
                <w:rFonts w:eastAsiaTheme="minorEastAsia" w:cstheme="minorHAnsi"/>
                <w:lang w:eastAsia="ja-JP"/>
              </w:rPr>
              <w:t>radiación</w:t>
            </w:r>
            <w:proofErr w:type="spellEnd"/>
            <w:r w:rsidRPr="00A75F1B">
              <w:rPr>
                <w:rFonts w:eastAsiaTheme="minorEastAsia" w:cstheme="minorHAnsi"/>
                <w:lang w:eastAsia="ja-JP"/>
              </w:rPr>
              <w:t xml:space="preserve"> de </w:t>
            </w:r>
            <w:proofErr w:type="spellStart"/>
            <w:r w:rsidRPr="00A75F1B">
              <w:rPr>
                <w:rFonts w:eastAsiaTheme="minorEastAsia" w:cstheme="minorHAnsi"/>
                <w:lang w:eastAsia="ja-JP"/>
              </w:rPr>
              <w:t>Canadá</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establecidos</w:t>
            </w:r>
            <w:proofErr w:type="spellEnd"/>
            <w:r w:rsidRPr="00A75F1B">
              <w:rPr>
                <w:rFonts w:eastAsiaTheme="minorEastAsia" w:cstheme="minorHAnsi"/>
                <w:lang w:eastAsia="ja-JP"/>
              </w:rPr>
              <w:t xml:space="preserve"> para </w:t>
            </w:r>
            <w:proofErr w:type="spellStart"/>
            <w:r w:rsidRPr="00A75F1B">
              <w:rPr>
                <w:rFonts w:eastAsiaTheme="minorEastAsia" w:cstheme="minorHAnsi"/>
                <w:lang w:eastAsia="ja-JP"/>
              </w:rPr>
              <w:t>entornos</w:t>
            </w:r>
            <w:proofErr w:type="spellEnd"/>
            <w:r w:rsidRPr="00A75F1B">
              <w:rPr>
                <w:rFonts w:eastAsiaTheme="minorEastAsia" w:cstheme="minorHAnsi"/>
                <w:lang w:eastAsia="ja-JP"/>
              </w:rPr>
              <w:t xml:space="preserve"> no </w:t>
            </w:r>
            <w:proofErr w:type="spellStart"/>
            <w:r w:rsidRPr="00A75F1B">
              <w:rPr>
                <w:rFonts w:eastAsiaTheme="minorEastAsia" w:cstheme="minorHAnsi"/>
                <w:lang w:eastAsia="ja-JP"/>
              </w:rPr>
              <w:t>controlados</w:t>
            </w:r>
            <w:proofErr w:type="spellEnd"/>
            <w:r w:rsidRPr="00A75F1B">
              <w:rPr>
                <w:rFonts w:eastAsiaTheme="minorEastAsia" w:cstheme="minorHAnsi"/>
                <w:lang w:eastAsia="ja-JP"/>
              </w:rPr>
              <w:t xml:space="preserve">. Este </w:t>
            </w:r>
            <w:proofErr w:type="spellStart"/>
            <w:r w:rsidRPr="00A75F1B">
              <w:rPr>
                <w:rFonts w:eastAsiaTheme="minorEastAsia" w:cstheme="minorHAnsi"/>
                <w:lang w:eastAsia="ja-JP"/>
              </w:rPr>
              <w:t>transmisor</w:t>
            </w:r>
            <w:proofErr w:type="spellEnd"/>
            <w:r w:rsidRPr="00A75F1B">
              <w:rPr>
                <w:rFonts w:eastAsiaTheme="minorEastAsia" w:cstheme="minorHAnsi"/>
                <w:lang w:eastAsia="ja-JP"/>
              </w:rPr>
              <w:t xml:space="preserve"> no debe </w:t>
            </w:r>
            <w:proofErr w:type="spellStart"/>
            <w:r w:rsidRPr="00A75F1B">
              <w:rPr>
                <w:rFonts w:eastAsiaTheme="minorEastAsia" w:cstheme="minorHAnsi"/>
                <w:lang w:eastAsia="ja-JP"/>
              </w:rPr>
              <w:t>utilizarse</w:t>
            </w:r>
            <w:proofErr w:type="spellEnd"/>
            <w:r w:rsidRPr="00A75F1B">
              <w:rPr>
                <w:rFonts w:eastAsiaTheme="minorEastAsia" w:cstheme="minorHAnsi"/>
                <w:lang w:eastAsia="ja-JP"/>
              </w:rPr>
              <w:t xml:space="preserve"> con </w:t>
            </w:r>
            <w:proofErr w:type="spellStart"/>
            <w:r w:rsidRPr="00A75F1B">
              <w:rPr>
                <w:rFonts w:eastAsiaTheme="minorEastAsia" w:cstheme="minorHAnsi"/>
                <w:lang w:eastAsia="ja-JP"/>
              </w:rPr>
              <w:t>ninguna</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otra</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antena</w:t>
            </w:r>
            <w:proofErr w:type="spellEnd"/>
            <w:r w:rsidRPr="00A75F1B">
              <w:rPr>
                <w:rFonts w:eastAsiaTheme="minorEastAsia" w:cstheme="minorHAnsi"/>
                <w:lang w:eastAsia="ja-JP"/>
              </w:rPr>
              <w:t xml:space="preserve"> o </w:t>
            </w:r>
            <w:proofErr w:type="spellStart"/>
            <w:r w:rsidRPr="00A75F1B">
              <w:rPr>
                <w:rFonts w:eastAsiaTheme="minorEastAsia" w:cstheme="minorHAnsi"/>
                <w:lang w:eastAsia="ja-JP"/>
              </w:rPr>
              <w:t>transmisor</w:t>
            </w:r>
            <w:proofErr w:type="spellEnd"/>
            <w:r w:rsidRPr="00A75F1B">
              <w:rPr>
                <w:rFonts w:eastAsiaTheme="minorEastAsia" w:cstheme="minorHAnsi"/>
                <w:lang w:eastAsia="ja-JP"/>
              </w:rPr>
              <w:t>.</w:t>
            </w:r>
          </w:p>
        </w:tc>
        <w:tc>
          <w:tcPr>
            <w:tcW w:w="3060" w:type="dxa"/>
          </w:tcPr>
          <w:p w14:paraId="580F75E6" w14:textId="77777777" w:rsidR="00015C98" w:rsidRPr="00A75F1B" w:rsidRDefault="00015C98" w:rsidP="00015C98">
            <w:pPr>
              <w:rPr>
                <w:rFonts w:cstheme="minorHAnsi"/>
              </w:rPr>
            </w:pPr>
            <w:r w:rsidRPr="00A75F1B">
              <w:rPr>
                <w:rFonts w:cstheme="minorHAnsi"/>
              </w:rPr>
              <w:t xml:space="preserve">IC: </w:t>
            </w:r>
            <w:proofErr w:type="spellStart"/>
            <w:r w:rsidRPr="00A75F1B">
              <w:rPr>
                <w:rFonts w:cstheme="minorHAnsi"/>
              </w:rPr>
              <w:t>xxxxx-xxxxxxxxx</w:t>
            </w:r>
            <w:proofErr w:type="spellEnd"/>
          </w:p>
          <w:p w14:paraId="5BA3C454" w14:textId="77777777" w:rsidR="00015C98" w:rsidRPr="00A75F1B" w:rsidRDefault="00015C98" w:rsidP="00015C98">
            <w:pPr>
              <w:rPr>
                <w:rFonts w:cstheme="minorHAnsi"/>
              </w:rPr>
            </w:pPr>
          </w:p>
        </w:tc>
      </w:tr>
      <w:tr w:rsidR="00015C98" w:rsidRPr="00A75F1B" w14:paraId="15EBD4B0" w14:textId="77777777" w:rsidTr="00823421">
        <w:tc>
          <w:tcPr>
            <w:tcW w:w="1555" w:type="dxa"/>
          </w:tcPr>
          <w:p w14:paraId="2045B3C8" w14:textId="0E26834D" w:rsidR="00015C98" w:rsidRPr="00A75F1B" w:rsidRDefault="00823421" w:rsidP="00015C98">
            <w:pPr>
              <w:rPr>
                <w:rFonts w:cstheme="minorHAnsi"/>
              </w:rPr>
            </w:pPr>
            <w:r w:rsidRPr="00A75F1B">
              <w:rPr>
                <w:rFonts w:cstheme="minorHAnsi"/>
                <w:lang w:val="es-ES"/>
              </w:rPr>
              <w:t>Europa</w:t>
            </w:r>
          </w:p>
        </w:tc>
        <w:tc>
          <w:tcPr>
            <w:tcW w:w="5280" w:type="dxa"/>
          </w:tcPr>
          <w:p w14:paraId="2D0EBCA6" w14:textId="366BB8C7" w:rsidR="00015C98" w:rsidRPr="00A75F1B" w:rsidRDefault="00823421" w:rsidP="00015C98">
            <w:pPr>
              <w:rPr>
                <w:rFonts w:cstheme="minorHAnsi"/>
              </w:rPr>
            </w:pPr>
            <w:r w:rsidRPr="00A75F1B">
              <w:rPr>
                <w:rFonts w:eastAsiaTheme="minorEastAsia" w:cstheme="minorHAnsi"/>
                <w:lang w:eastAsia="ja-JP"/>
              </w:rPr>
              <w:t xml:space="preserve">Este </w:t>
            </w:r>
            <w:proofErr w:type="spellStart"/>
            <w:r w:rsidRPr="00A75F1B">
              <w:rPr>
                <w:rFonts w:eastAsiaTheme="minorEastAsia" w:cstheme="minorHAnsi"/>
                <w:lang w:eastAsia="ja-JP"/>
              </w:rPr>
              <w:t>dispositivo</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inalámbrico</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cumple</w:t>
            </w:r>
            <w:proofErr w:type="spellEnd"/>
            <w:r w:rsidRPr="00A75F1B">
              <w:rPr>
                <w:rFonts w:eastAsiaTheme="minorEastAsia" w:cstheme="minorHAnsi"/>
                <w:lang w:eastAsia="ja-JP"/>
              </w:rPr>
              <w:t xml:space="preserve"> con los </w:t>
            </w:r>
            <w:proofErr w:type="spellStart"/>
            <w:r w:rsidRPr="00A75F1B">
              <w:rPr>
                <w:rFonts w:eastAsiaTheme="minorEastAsia" w:cstheme="minorHAnsi"/>
                <w:lang w:eastAsia="ja-JP"/>
              </w:rPr>
              <w:t>requisitos</w:t>
            </w:r>
            <w:proofErr w:type="spellEnd"/>
            <w:r w:rsidRPr="00A75F1B">
              <w:rPr>
                <w:rFonts w:eastAsiaTheme="minorEastAsia" w:cstheme="minorHAnsi"/>
                <w:lang w:eastAsia="ja-JP"/>
              </w:rPr>
              <w:t xml:space="preserve"> de la </w:t>
            </w:r>
            <w:proofErr w:type="spellStart"/>
            <w:r w:rsidRPr="00A75F1B">
              <w:rPr>
                <w:rFonts w:eastAsiaTheme="minorEastAsia" w:cstheme="minorHAnsi"/>
                <w:lang w:eastAsia="ja-JP"/>
              </w:rPr>
              <w:t>Directiva</w:t>
            </w:r>
            <w:proofErr w:type="spellEnd"/>
            <w:r w:rsidRPr="00A75F1B">
              <w:rPr>
                <w:rFonts w:eastAsiaTheme="minorEastAsia" w:cstheme="minorHAnsi"/>
                <w:lang w:eastAsia="ja-JP"/>
              </w:rPr>
              <w:t xml:space="preserve"> de la UE 2014/53 / EU (</w:t>
            </w:r>
            <w:proofErr w:type="spellStart"/>
            <w:r w:rsidRPr="00A75F1B">
              <w:rPr>
                <w:rFonts w:eastAsiaTheme="minorEastAsia" w:cstheme="minorHAnsi"/>
                <w:lang w:eastAsia="ja-JP"/>
              </w:rPr>
              <w:t>Directiva</w:t>
            </w:r>
            <w:proofErr w:type="spellEnd"/>
            <w:r w:rsidRPr="00A75F1B">
              <w:rPr>
                <w:rFonts w:eastAsiaTheme="minorEastAsia" w:cstheme="minorHAnsi"/>
                <w:lang w:eastAsia="ja-JP"/>
              </w:rPr>
              <w:t xml:space="preserve"> de </w:t>
            </w:r>
            <w:proofErr w:type="spellStart"/>
            <w:r w:rsidRPr="00A75F1B">
              <w:rPr>
                <w:rFonts w:eastAsiaTheme="minorEastAsia" w:cstheme="minorHAnsi"/>
                <w:lang w:eastAsia="ja-JP"/>
              </w:rPr>
              <w:t>equipos</w:t>
            </w:r>
            <w:proofErr w:type="spellEnd"/>
            <w:r w:rsidRPr="00A75F1B">
              <w:rPr>
                <w:rFonts w:eastAsiaTheme="minorEastAsia" w:cstheme="minorHAnsi"/>
                <w:lang w:eastAsia="ja-JP"/>
              </w:rPr>
              <w:t xml:space="preserve"> de radio); 2014/30 / EU (</w:t>
            </w:r>
            <w:proofErr w:type="spellStart"/>
            <w:r w:rsidRPr="00A75F1B">
              <w:rPr>
                <w:rFonts w:eastAsiaTheme="minorEastAsia" w:cstheme="minorHAnsi"/>
                <w:lang w:eastAsia="ja-JP"/>
              </w:rPr>
              <w:t>Directiva</w:t>
            </w:r>
            <w:proofErr w:type="spellEnd"/>
            <w:r w:rsidRPr="00A75F1B">
              <w:rPr>
                <w:rFonts w:eastAsiaTheme="minorEastAsia" w:cstheme="minorHAnsi"/>
                <w:lang w:eastAsia="ja-JP"/>
              </w:rPr>
              <w:t xml:space="preserve"> de </w:t>
            </w:r>
            <w:proofErr w:type="spellStart"/>
            <w:r w:rsidRPr="00A75F1B">
              <w:rPr>
                <w:rFonts w:eastAsiaTheme="minorEastAsia" w:cstheme="minorHAnsi"/>
                <w:lang w:eastAsia="ja-JP"/>
              </w:rPr>
              <w:t>Compatibilidad</w:t>
            </w:r>
            <w:proofErr w:type="spellEnd"/>
            <w:r w:rsidRPr="00A75F1B">
              <w:rPr>
                <w:rFonts w:eastAsiaTheme="minorEastAsia" w:cstheme="minorHAnsi"/>
                <w:lang w:eastAsia="ja-JP"/>
              </w:rPr>
              <w:t xml:space="preserve"> </w:t>
            </w:r>
            <w:proofErr w:type="spellStart"/>
            <w:r w:rsidRPr="00A75F1B">
              <w:rPr>
                <w:rFonts w:eastAsiaTheme="minorEastAsia" w:cstheme="minorHAnsi"/>
                <w:lang w:eastAsia="ja-JP"/>
              </w:rPr>
              <w:t>Electromagnética</w:t>
            </w:r>
            <w:proofErr w:type="spellEnd"/>
            <w:r w:rsidRPr="00A75F1B">
              <w:rPr>
                <w:rFonts w:eastAsiaTheme="minorEastAsia" w:cstheme="minorHAnsi"/>
                <w:lang w:eastAsia="ja-JP"/>
              </w:rPr>
              <w:t>) y 2014/35 / EU (</w:t>
            </w:r>
            <w:proofErr w:type="spellStart"/>
            <w:r w:rsidRPr="00A75F1B">
              <w:rPr>
                <w:rFonts w:eastAsiaTheme="minorEastAsia" w:cstheme="minorHAnsi"/>
                <w:lang w:eastAsia="ja-JP"/>
              </w:rPr>
              <w:t>Directiva</w:t>
            </w:r>
            <w:proofErr w:type="spellEnd"/>
            <w:r w:rsidRPr="00A75F1B">
              <w:rPr>
                <w:rFonts w:eastAsiaTheme="minorEastAsia" w:cstheme="minorHAnsi"/>
                <w:lang w:eastAsia="ja-JP"/>
              </w:rPr>
              <w:t xml:space="preserve"> de Bajo </w:t>
            </w:r>
            <w:proofErr w:type="spellStart"/>
            <w:r w:rsidRPr="00A75F1B">
              <w:rPr>
                <w:rFonts w:eastAsiaTheme="minorEastAsia" w:cstheme="minorHAnsi"/>
                <w:lang w:eastAsia="ja-JP"/>
              </w:rPr>
              <w:t>Voltaje</w:t>
            </w:r>
            <w:proofErr w:type="spellEnd"/>
            <w:r w:rsidRPr="00A75F1B">
              <w:rPr>
                <w:rFonts w:eastAsiaTheme="minorEastAsia" w:cstheme="minorHAnsi"/>
                <w:lang w:eastAsia="ja-JP"/>
              </w:rPr>
              <w:t>)</w:t>
            </w:r>
          </w:p>
        </w:tc>
        <w:tc>
          <w:tcPr>
            <w:tcW w:w="3060" w:type="dxa"/>
          </w:tcPr>
          <w:p w14:paraId="2968009A" w14:textId="77777777" w:rsidR="00015C98" w:rsidRPr="00A75F1B" w:rsidRDefault="00015C98" w:rsidP="00015C98">
            <w:pPr>
              <w:rPr>
                <w:rFonts w:cstheme="minorHAnsi"/>
              </w:rPr>
            </w:pPr>
            <w:r w:rsidRPr="00A75F1B">
              <w:rPr>
                <w:rFonts w:cstheme="minorHAnsi"/>
                <w:noProof/>
              </w:rPr>
              <w:drawing>
                <wp:inline distT="0" distB="0" distL="0" distR="0" wp14:anchorId="032C0FD7" wp14:editId="737FC12F">
                  <wp:extent cx="904875" cy="50704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15011" cy="512721"/>
                          </a:xfrm>
                          <a:prstGeom prst="rect">
                            <a:avLst/>
                          </a:prstGeom>
                        </pic:spPr>
                      </pic:pic>
                    </a:graphicData>
                  </a:graphic>
                </wp:inline>
              </w:drawing>
            </w:r>
            <w:r w:rsidRPr="00A75F1B">
              <w:rPr>
                <w:rFonts w:cstheme="minorHAnsi"/>
                <w:noProof/>
              </w:rPr>
              <w:t xml:space="preserve"> </w:t>
            </w:r>
            <w:r w:rsidRPr="00A75F1B">
              <w:rPr>
                <w:rFonts w:cstheme="minorHAnsi"/>
                <w:noProof/>
              </w:rPr>
              <w:drawing>
                <wp:inline distT="0" distB="0" distL="0" distR="0" wp14:anchorId="5D17F3BF" wp14:editId="7AEED786">
                  <wp:extent cx="666750" cy="77393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2918" cy="792698"/>
                          </a:xfrm>
                          <a:prstGeom prst="rect">
                            <a:avLst/>
                          </a:prstGeom>
                        </pic:spPr>
                      </pic:pic>
                    </a:graphicData>
                  </a:graphic>
                </wp:inline>
              </w:drawing>
            </w:r>
          </w:p>
        </w:tc>
      </w:tr>
      <w:tr w:rsidR="00823421" w:rsidRPr="00A75F1B" w14:paraId="129D4986" w14:textId="77777777" w:rsidTr="00823421">
        <w:tc>
          <w:tcPr>
            <w:tcW w:w="1555" w:type="dxa"/>
          </w:tcPr>
          <w:p w14:paraId="5A43348E" w14:textId="16D134A8" w:rsidR="00823421" w:rsidRPr="00A75F1B" w:rsidRDefault="00823421" w:rsidP="00823421">
            <w:pPr>
              <w:rPr>
                <w:rFonts w:cstheme="minorHAnsi"/>
              </w:rPr>
            </w:pPr>
            <w:r w:rsidRPr="00A75F1B">
              <w:rPr>
                <w:rFonts w:cstheme="minorHAnsi"/>
                <w:lang w:val="es-ES"/>
              </w:rPr>
              <w:t>Japón</w:t>
            </w:r>
          </w:p>
        </w:tc>
        <w:tc>
          <w:tcPr>
            <w:tcW w:w="5280" w:type="dxa"/>
          </w:tcPr>
          <w:p w14:paraId="5F442438" w14:textId="3DA1FDDF" w:rsidR="00823421" w:rsidRPr="00A75F1B" w:rsidRDefault="00823421" w:rsidP="00823421">
            <w:pPr>
              <w:rPr>
                <w:rFonts w:cstheme="minorHAnsi"/>
              </w:rPr>
            </w:pPr>
            <w:proofErr w:type="spellStart"/>
            <w:r w:rsidRPr="00A75F1B">
              <w:rPr>
                <w:rFonts w:eastAsiaTheme="minorEastAsia" w:cstheme="minorHAnsi"/>
                <w:lang w:eastAsia="ja-JP"/>
              </w:rPr>
              <w:t>Certificado</w:t>
            </w:r>
            <w:proofErr w:type="spellEnd"/>
            <w:r w:rsidRPr="00A75F1B">
              <w:rPr>
                <w:rFonts w:eastAsiaTheme="minorEastAsia" w:cstheme="minorHAnsi"/>
                <w:lang w:eastAsia="ja-JP"/>
              </w:rPr>
              <w:t xml:space="preserve"> de </w:t>
            </w:r>
            <w:proofErr w:type="spellStart"/>
            <w:r w:rsidRPr="00A75F1B">
              <w:rPr>
                <w:rFonts w:eastAsiaTheme="minorEastAsia" w:cstheme="minorHAnsi"/>
                <w:lang w:eastAsia="ja-JP"/>
              </w:rPr>
              <w:t>equipos</w:t>
            </w:r>
            <w:proofErr w:type="spellEnd"/>
            <w:r w:rsidRPr="00A75F1B">
              <w:rPr>
                <w:rFonts w:eastAsiaTheme="minorEastAsia" w:cstheme="minorHAnsi"/>
                <w:lang w:eastAsia="ja-JP"/>
              </w:rPr>
              <w:t xml:space="preserve"> de radio</w:t>
            </w:r>
          </w:p>
        </w:tc>
        <w:tc>
          <w:tcPr>
            <w:tcW w:w="3060" w:type="dxa"/>
          </w:tcPr>
          <w:p w14:paraId="542E631E" w14:textId="71206006" w:rsidR="00823421" w:rsidRPr="00A75F1B" w:rsidRDefault="00823421" w:rsidP="00823421">
            <w:pPr>
              <w:rPr>
                <w:rFonts w:cstheme="minorHAnsi"/>
                <w:noProof/>
              </w:rPr>
            </w:pPr>
            <w:r w:rsidRPr="00A75F1B">
              <w:rPr>
                <w:rFonts w:cstheme="minorHAnsi"/>
                <w:noProof/>
              </w:rPr>
              <w:drawing>
                <wp:inline distT="0" distB="0" distL="0" distR="0" wp14:anchorId="37CF3A86" wp14:editId="2404F07C">
                  <wp:extent cx="551227" cy="3619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179" cy="368485"/>
                          </a:xfrm>
                          <a:prstGeom prst="rect">
                            <a:avLst/>
                          </a:prstGeom>
                        </pic:spPr>
                      </pic:pic>
                    </a:graphicData>
                  </a:graphic>
                </wp:inline>
              </w:drawing>
            </w:r>
            <w:r w:rsidRPr="00A75F1B">
              <w:rPr>
                <w:rFonts w:cstheme="minorHAnsi"/>
              </w:rPr>
              <w:t xml:space="preserve"> xxx-</w:t>
            </w:r>
            <w:proofErr w:type="spellStart"/>
            <w:r w:rsidRPr="00A75F1B">
              <w:rPr>
                <w:rFonts w:cstheme="minorHAnsi"/>
              </w:rPr>
              <w:t>xxxxxx</w:t>
            </w:r>
            <w:proofErr w:type="spellEnd"/>
            <w:r w:rsidRPr="00A75F1B">
              <w:rPr>
                <w:rFonts w:cstheme="minorHAnsi"/>
              </w:rPr>
              <w:t>/xx</w:t>
            </w:r>
          </w:p>
        </w:tc>
      </w:tr>
      <w:tr w:rsidR="00823421" w:rsidRPr="00A75F1B" w14:paraId="318846B2" w14:textId="77777777" w:rsidTr="00823421">
        <w:tc>
          <w:tcPr>
            <w:tcW w:w="1555" w:type="dxa"/>
          </w:tcPr>
          <w:p w14:paraId="5BE5105F" w14:textId="243151BA" w:rsidR="00823421" w:rsidRPr="00A75F1B" w:rsidRDefault="00823421" w:rsidP="00823421">
            <w:pPr>
              <w:rPr>
                <w:rFonts w:cstheme="minorHAnsi"/>
              </w:rPr>
            </w:pPr>
            <w:proofErr w:type="gramStart"/>
            <w:r w:rsidRPr="00A75F1B">
              <w:rPr>
                <w:rFonts w:cstheme="minorHAnsi"/>
                <w:lang w:val="es-ES"/>
              </w:rPr>
              <w:t>EEUU</w:t>
            </w:r>
            <w:proofErr w:type="gramEnd"/>
          </w:p>
        </w:tc>
        <w:tc>
          <w:tcPr>
            <w:tcW w:w="5280" w:type="dxa"/>
          </w:tcPr>
          <w:p w14:paraId="387D3623" w14:textId="77777777" w:rsidR="00823421" w:rsidRPr="00A75F1B"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es-ES"/>
              </w:rPr>
              <w:t>Declaración de cumplimiento de normativa FCC. Este dispositivo cumple con la parte 15 de las normas FCC. El uso está sujeto a las dos condiciones siguientes:</w:t>
            </w:r>
          </w:p>
          <w:p w14:paraId="3692AFD9" w14:textId="62DE1C33" w:rsidR="00823421" w:rsidRPr="00A75F1B"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es-ES"/>
              </w:rPr>
              <w:t xml:space="preserve">1. Este dispositivo no puede causar interferencias dañinas, y </w:t>
            </w:r>
            <w:r w:rsidRPr="00A75F1B">
              <w:rPr>
                <w:rFonts w:cstheme="minorHAnsi"/>
                <w:lang w:val="es-ES"/>
              </w:rPr>
              <w:br/>
              <w:t xml:space="preserve">2. Este dispositivo debe aceptar cualquier interferencia recibida, incluidas las interferencias que puedan causar </w:t>
            </w:r>
            <w:r w:rsidRPr="00A75F1B">
              <w:rPr>
                <w:rFonts w:cstheme="minorHAnsi"/>
                <w:lang w:val="es-ES"/>
              </w:rPr>
              <w:lastRenderedPageBreak/>
              <w:t>un funcionamiento no deseado. Nota: este equipo ha sido probado y cumple con los límites para un dispositivo digital de Clase B, de conformidad con la parte 15 de las normas FCC. Estos límites están diseñados para proporcionar una protección razonable contra interferencias perjudiciales en una instalación residencial. Este equipo genera, utiliza y puede emitir energía de radiofrecuencia y, si no se instala y utiliza de acuerdo con las instrucciones, puede causar interferencias perjudiciales en las comunicaciones de radio. Sin embargo, no hay garantía de que no se produzcan interferencias en una instalación en particular. Si este equipo causa interferencias perjudiciales en la recepción de radio o televisión, lo cual puede determinarse encendiendo y apagando el equipo, se recomienda al usuario que intente corregir la interferencia tomando una o más de las siguientes medidas:</w:t>
            </w:r>
          </w:p>
          <w:p w14:paraId="3470F2CC" w14:textId="77777777" w:rsidR="00823421" w:rsidRPr="00A75F1B"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es-ES"/>
              </w:rPr>
              <w:t>• Reorientar o reubicar la antena receptora</w:t>
            </w:r>
          </w:p>
          <w:p w14:paraId="6C1F4337" w14:textId="77777777" w:rsidR="00823421" w:rsidRPr="00A75F1B"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es-ES"/>
              </w:rPr>
              <w:t>• Aumentar la separación entre el equipo y el receptor.</w:t>
            </w:r>
          </w:p>
          <w:p w14:paraId="06627D49" w14:textId="77777777" w:rsidR="00823421" w:rsidRPr="00A75F1B"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es-ES"/>
              </w:rPr>
              <w:t>• Conecte el equipo a una toma de corriente en un circuito diferente al que está conectado el receptor.</w:t>
            </w:r>
          </w:p>
          <w:p w14:paraId="0B6D0701" w14:textId="77777777" w:rsidR="00823421" w:rsidRPr="00A75F1B"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es-ES"/>
              </w:rPr>
              <w:t>• Consulte con el distribuidor o con un técnico de radio / Televisión experimentado para obtener ayuda.</w:t>
            </w:r>
          </w:p>
          <w:p w14:paraId="70B26EA7" w14:textId="77777777" w:rsidR="00823421" w:rsidRPr="00A75F1B" w:rsidRDefault="00823421" w:rsidP="0082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s-ES"/>
              </w:rPr>
            </w:pPr>
            <w:r w:rsidRPr="00A75F1B">
              <w:rPr>
                <w:rFonts w:cstheme="minorHAnsi"/>
                <w:lang w:val="es-ES"/>
              </w:rPr>
              <w:t>Cualquier cambio o modificación no aprobada expresamente, por la parte responsable del cumplimiento, podría anular su autoridad para utilizar el equipo.</w:t>
            </w:r>
          </w:p>
          <w:p w14:paraId="7DB1F4BC" w14:textId="084BECD7" w:rsidR="00823421" w:rsidRPr="00A75F1B" w:rsidRDefault="00823421" w:rsidP="00823421">
            <w:pPr>
              <w:rPr>
                <w:rFonts w:cstheme="minorHAnsi"/>
              </w:rPr>
            </w:pPr>
            <w:r w:rsidRPr="00A75F1B">
              <w:rPr>
                <w:rFonts w:cstheme="minorHAnsi"/>
                <w:lang w:val="es-ES"/>
              </w:rPr>
              <w:t>Información de la exposición de radio FCC. Este equipo cumple con los límites de exposición a la radiación FCC establecidos para un entorno no controlado. Los usuarios finales deben seguir las instrucciones de uso específicas para satisfacer el cumplimiento de la exposición a RF. Este transmisor no debe colocarse ni funcionar junto con ninguna otra antena o transmisor.</w:t>
            </w:r>
          </w:p>
        </w:tc>
        <w:tc>
          <w:tcPr>
            <w:tcW w:w="3060" w:type="dxa"/>
          </w:tcPr>
          <w:p w14:paraId="2F06C38A" w14:textId="777FC5EC" w:rsidR="00823421" w:rsidRPr="00A75F1B" w:rsidRDefault="00823421" w:rsidP="00823421">
            <w:pPr>
              <w:rPr>
                <w:rFonts w:cstheme="minorHAnsi"/>
                <w:noProof/>
              </w:rPr>
            </w:pPr>
            <w:r w:rsidRPr="00A75F1B">
              <w:rPr>
                <w:rFonts w:cstheme="minorHAnsi"/>
                <w:noProof/>
              </w:rPr>
              <w:lastRenderedPageBreak/>
              <w:drawing>
                <wp:inline distT="0" distB="0" distL="0" distR="0" wp14:anchorId="7BD8E6D7" wp14:editId="095B2C1E">
                  <wp:extent cx="1485900" cy="6523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50916" cy="680890"/>
                          </a:xfrm>
                          <a:prstGeom prst="rect">
                            <a:avLst/>
                          </a:prstGeom>
                        </pic:spPr>
                      </pic:pic>
                    </a:graphicData>
                  </a:graphic>
                </wp:inline>
              </w:drawing>
            </w:r>
          </w:p>
        </w:tc>
      </w:tr>
      <w:tr w:rsidR="00823421" w:rsidRPr="00A75F1B" w14:paraId="6B7C7459" w14:textId="77777777" w:rsidTr="00823421">
        <w:tc>
          <w:tcPr>
            <w:tcW w:w="1555" w:type="dxa"/>
          </w:tcPr>
          <w:p w14:paraId="550A4DFA" w14:textId="23D22DA0" w:rsidR="00823421" w:rsidRPr="00A75F1B" w:rsidRDefault="00823421" w:rsidP="00823421">
            <w:pPr>
              <w:rPr>
                <w:rFonts w:cstheme="minorHAnsi"/>
              </w:rPr>
            </w:pPr>
            <w:r w:rsidRPr="00A75F1B">
              <w:rPr>
                <w:rFonts w:cstheme="minorHAnsi"/>
                <w:lang w:val="es-ES"/>
              </w:rPr>
              <w:t>Declaración de exposición a la radiación</w:t>
            </w:r>
          </w:p>
        </w:tc>
        <w:tc>
          <w:tcPr>
            <w:tcW w:w="5280" w:type="dxa"/>
          </w:tcPr>
          <w:p w14:paraId="075E4E9C" w14:textId="6FD6F38F" w:rsidR="00823421" w:rsidRPr="00A75F1B" w:rsidRDefault="00823421" w:rsidP="00823421">
            <w:pPr>
              <w:rPr>
                <w:rFonts w:cstheme="minorHAnsi"/>
              </w:rPr>
            </w:pPr>
            <w:r w:rsidRPr="00A75F1B">
              <w:rPr>
                <w:rFonts w:cstheme="minorHAnsi"/>
                <w:lang w:val="es-ES"/>
              </w:rPr>
              <w:t>Este dispositivo cumple con el límite de exposición ISED RSS-102 RF establecido para un entorno no controlado y es seguro para el uso previsto tal y como se describe en este manual.</w:t>
            </w:r>
          </w:p>
        </w:tc>
        <w:tc>
          <w:tcPr>
            <w:tcW w:w="3060" w:type="dxa"/>
          </w:tcPr>
          <w:p w14:paraId="47FA6188" w14:textId="77777777" w:rsidR="00823421" w:rsidRPr="00A75F1B" w:rsidRDefault="00823421" w:rsidP="00823421">
            <w:pPr>
              <w:rPr>
                <w:rFonts w:cstheme="minorHAnsi"/>
                <w:noProof/>
              </w:rPr>
            </w:pPr>
          </w:p>
        </w:tc>
      </w:tr>
    </w:tbl>
    <w:p w14:paraId="745AA449" w14:textId="36FD797F" w:rsidR="004E7CA6" w:rsidRPr="00A75F1B" w:rsidRDefault="004E7CA6">
      <w:pPr>
        <w:rPr>
          <w:rFonts w:cstheme="minorHAnsi"/>
        </w:rPr>
      </w:pPr>
    </w:p>
    <w:p w14:paraId="29643858" w14:textId="595A9A83" w:rsidR="00015C98" w:rsidRPr="00A75F1B" w:rsidRDefault="00015C98" w:rsidP="00015C98">
      <w:pPr>
        <w:pStyle w:val="1"/>
        <w:rPr>
          <w:rFonts w:asciiTheme="minorHAnsi" w:hAnsiTheme="minorHAnsi" w:cstheme="minorHAnsi"/>
          <w:sz w:val="22"/>
          <w:szCs w:val="22"/>
          <w:lang w:val="es-ES"/>
        </w:rPr>
      </w:pPr>
      <w:proofErr w:type="spellStart"/>
      <w:r w:rsidRPr="00A75F1B">
        <w:rPr>
          <w:rFonts w:asciiTheme="minorHAnsi" w:hAnsiTheme="minorHAnsi" w:cstheme="minorHAnsi"/>
          <w:sz w:val="22"/>
          <w:szCs w:val="22"/>
          <w:lang w:val="es-ES"/>
        </w:rPr>
        <w:t>IQstream</w:t>
      </w:r>
      <w:proofErr w:type="spellEnd"/>
      <w:r w:rsidRPr="00A75F1B">
        <w:rPr>
          <w:rFonts w:asciiTheme="minorHAnsi" w:hAnsiTheme="minorHAnsi" w:cstheme="minorHAnsi"/>
          <w:sz w:val="22"/>
          <w:szCs w:val="22"/>
          <w:lang w:val="es-ES"/>
        </w:rPr>
        <w:t xml:space="preserve"> TV está fabricado en Malasia por:</w:t>
      </w:r>
    </w:p>
    <w:p w14:paraId="03E667F7" w14:textId="77777777" w:rsidR="00015C98" w:rsidRPr="00A75F1B" w:rsidRDefault="00015C98" w:rsidP="00015C98">
      <w:pPr>
        <w:pStyle w:val="1"/>
        <w:rPr>
          <w:rFonts w:asciiTheme="minorHAnsi" w:hAnsiTheme="minorHAnsi" w:cstheme="minorHAnsi"/>
          <w:sz w:val="22"/>
          <w:szCs w:val="22"/>
          <w:lang w:val="es-ES"/>
        </w:rPr>
      </w:pPr>
    </w:p>
    <w:p w14:paraId="04D25380" w14:textId="77777777" w:rsidR="00015C98" w:rsidRPr="00A75F1B" w:rsidRDefault="00015C98" w:rsidP="00015C98">
      <w:pPr>
        <w:pStyle w:val="1"/>
        <w:rPr>
          <w:rFonts w:asciiTheme="minorHAnsi" w:hAnsiTheme="minorHAnsi" w:cstheme="minorHAnsi"/>
          <w:sz w:val="22"/>
          <w:szCs w:val="22"/>
          <w:lang w:val="es-ES"/>
        </w:rPr>
      </w:pPr>
      <w:proofErr w:type="spellStart"/>
      <w:r w:rsidRPr="00A75F1B">
        <w:rPr>
          <w:rFonts w:asciiTheme="minorHAnsi" w:hAnsiTheme="minorHAnsi" w:cstheme="minorHAnsi"/>
          <w:sz w:val="22"/>
          <w:szCs w:val="22"/>
          <w:lang w:val="es-ES"/>
        </w:rPr>
        <w:t>Salutica</w:t>
      </w:r>
      <w:proofErr w:type="spellEnd"/>
      <w:r w:rsidRPr="00A75F1B">
        <w:rPr>
          <w:rFonts w:asciiTheme="minorHAnsi" w:hAnsiTheme="minorHAnsi" w:cstheme="minorHAnsi"/>
          <w:sz w:val="22"/>
          <w:szCs w:val="22"/>
          <w:lang w:val="es-ES"/>
        </w:rPr>
        <w:t xml:space="preserve"> </w:t>
      </w:r>
      <w:proofErr w:type="spellStart"/>
      <w:r w:rsidRPr="00A75F1B">
        <w:rPr>
          <w:rFonts w:asciiTheme="minorHAnsi" w:hAnsiTheme="minorHAnsi" w:cstheme="minorHAnsi"/>
          <w:sz w:val="22"/>
          <w:szCs w:val="22"/>
          <w:lang w:val="es-ES"/>
        </w:rPr>
        <w:t>Allied</w:t>
      </w:r>
      <w:proofErr w:type="spellEnd"/>
      <w:r w:rsidRPr="00A75F1B">
        <w:rPr>
          <w:rFonts w:asciiTheme="minorHAnsi" w:hAnsiTheme="minorHAnsi" w:cstheme="minorHAnsi"/>
          <w:sz w:val="22"/>
          <w:szCs w:val="22"/>
          <w:lang w:val="es-ES"/>
        </w:rPr>
        <w:t xml:space="preserve"> </w:t>
      </w:r>
      <w:proofErr w:type="spellStart"/>
      <w:r w:rsidRPr="00A75F1B">
        <w:rPr>
          <w:rFonts w:asciiTheme="minorHAnsi" w:hAnsiTheme="minorHAnsi" w:cstheme="minorHAnsi"/>
          <w:sz w:val="22"/>
          <w:szCs w:val="22"/>
          <w:lang w:val="es-ES"/>
        </w:rPr>
        <w:t>Solutions</w:t>
      </w:r>
      <w:proofErr w:type="spellEnd"/>
    </w:p>
    <w:p w14:paraId="13DA0C93" w14:textId="77777777" w:rsidR="00015C98" w:rsidRPr="00A75F1B" w:rsidRDefault="00015C98" w:rsidP="00015C98">
      <w:pPr>
        <w:pStyle w:val="1"/>
        <w:rPr>
          <w:rFonts w:asciiTheme="minorHAnsi" w:hAnsiTheme="minorHAnsi" w:cstheme="minorHAnsi"/>
          <w:sz w:val="22"/>
          <w:szCs w:val="22"/>
          <w:lang w:val="es-ES"/>
        </w:rPr>
      </w:pPr>
      <w:r w:rsidRPr="00A75F1B">
        <w:rPr>
          <w:rFonts w:asciiTheme="minorHAnsi" w:hAnsiTheme="minorHAnsi" w:cstheme="minorHAnsi"/>
          <w:sz w:val="22"/>
          <w:szCs w:val="22"/>
          <w:lang w:val="es-ES"/>
        </w:rPr>
        <w:t xml:space="preserve">No. 3, Jalan </w:t>
      </w:r>
      <w:proofErr w:type="spellStart"/>
      <w:r w:rsidRPr="00A75F1B">
        <w:rPr>
          <w:rFonts w:asciiTheme="minorHAnsi" w:hAnsiTheme="minorHAnsi" w:cstheme="minorHAnsi"/>
          <w:sz w:val="22"/>
          <w:szCs w:val="22"/>
          <w:lang w:val="es-ES"/>
        </w:rPr>
        <w:t>Zarib</w:t>
      </w:r>
      <w:proofErr w:type="spellEnd"/>
      <w:r w:rsidRPr="00A75F1B">
        <w:rPr>
          <w:rFonts w:asciiTheme="minorHAnsi" w:hAnsiTheme="minorHAnsi" w:cstheme="minorHAnsi"/>
          <w:sz w:val="22"/>
          <w:szCs w:val="22"/>
          <w:lang w:val="es-ES"/>
        </w:rPr>
        <w:t xml:space="preserve"> 6</w:t>
      </w:r>
    </w:p>
    <w:p w14:paraId="2F212A49" w14:textId="77777777" w:rsidR="00015C98" w:rsidRPr="00A75F1B" w:rsidRDefault="00015C98" w:rsidP="00015C98">
      <w:pPr>
        <w:pStyle w:val="1"/>
        <w:rPr>
          <w:rFonts w:asciiTheme="minorHAnsi" w:hAnsiTheme="minorHAnsi" w:cstheme="minorHAnsi"/>
          <w:sz w:val="22"/>
          <w:szCs w:val="22"/>
          <w:lang w:val="es-ES"/>
        </w:rPr>
      </w:pPr>
      <w:proofErr w:type="spellStart"/>
      <w:r w:rsidRPr="00A75F1B">
        <w:rPr>
          <w:rFonts w:asciiTheme="minorHAnsi" w:hAnsiTheme="minorHAnsi" w:cstheme="minorHAnsi"/>
          <w:sz w:val="22"/>
          <w:szCs w:val="22"/>
          <w:lang w:val="es-ES"/>
        </w:rPr>
        <w:t>Kawasan</w:t>
      </w:r>
      <w:proofErr w:type="spellEnd"/>
      <w:r w:rsidRPr="00A75F1B">
        <w:rPr>
          <w:rFonts w:asciiTheme="minorHAnsi" w:hAnsiTheme="minorHAnsi" w:cstheme="minorHAnsi"/>
          <w:sz w:val="22"/>
          <w:szCs w:val="22"/>
          <w:lang w:val="es-ES"/>
        </w:rPr>
        <w:t xml:space="preserve"> </w:t>
      </w:r>
      <w:proofErr w:type="spellStart"/>
      <w:r w:rsidRPr="00A75F1B">
        <w:rPr>
          <w:rFonts w:asciiTheme="minorHAnsi" w:hAnsiTheme="minorHAnsi" w:cstheme="minorHAnsi"/>
          <w:sz w:val="22"/>
          <w:szCs w:val="22"/>
          <w:lang w:val="es-ES"/>
        </w:rPr>
        <w:t>Perindustrian</w:t>
      </w:r>
      <w:proofErr w:type="spellEnd"/>
      <w:r w:rsidRPr="00A75F1B">
        <w:rPr>
          <w:rFonts w:asciiTheme="minorHAnsi" w:hAnsiTheme="minorHAnsi" w:cstheme="minorHAnsi"/>
          <w:sz w:val="22"/>
          <w:szCs w:val="22"/>
          <w:lang w:val="es-ES"/>
        </w:rPr>
        <w:t xml:space="preserve"> </w:t>
      </w:r>
      <w:proofErr w:type="spellStart"/>
      <w:r w:rsidRPr="00A75F1B">
        <w:rPr>
          <w:rFonts w:asciiTheme="minorHAnsi" w:hAnsiTheme="minorHAnsi" w:cstheme="minorHAnsi"/>
          <w:sz w:val="22"/>
          <w:szCs w:val="22"/>
          <w:lang w:val="es-ES"/>
        </w:rPr>
        <w:t>Zarib</w:t>
      </w:r>
      <w:proofErr w:type="spellEnd"/>
    </w:p>
    <w:p w14:paraId="266005EB" w14:textId="77777777" w:rsidR="00015C98" w:rsidRPr="00A75F1B" w:rsidRDefault="00015C98" w:rsidP="00015C98">
      <w:pPr>
        <w:pStyle w:val="1"/>
        <w:rPr>
          <w:rFonts w:asciiTheme="minorHAnsi" w:hAnsiTheme="minorHAnsi" w:cstheme="minorHAnsi"/>
          <w:sz w:val="22"/>
          <w:szCs w:val="22"/>
          <w:lang w:val="es-ES"/>
        </w:rPr>
      </w:pPr>
      <w:r w:rsidRPr="00A75F1B">
        <w:rPr>
          <w:rFonts w:asciiTheme="minorHAnsi" w:hAnsiTheme="minorHAnsi" w:cstheme="minorHAnsi"/>
          <w:sz w:val="22"/>
          <w:szCs w:val="22"/>
          <w:lang w:val="es-ES"/>
        </w:rPr>
        <w:t>Ipoh Perak 31500</w:t>
      </w:r>
    </w:p>
    <w:p w14:paraId="6014614B" w14:textId="4CCFC237" w:rsidR="00912F01" w:rsidRPr="00A75F1B" w:rsidRDefault="00015C98" w:rsidP="00015C98">
      <w:pPr>
        <w:rPr>
          <w:rFonts w:cstheme="minorHAnsi"/>
        </w:rPr>
      </w:pPr>
      <w:r w:rsidRPr="00A75F1B">
        <w:rPr>
          <w:rFonts w:cstheme="minorHAnsi"/>
          <w:lang w:val="es-ES"/>
        </w:rPr>
        <w:t>Malasia</w:t>
      </w:r>
    </w:p>
    <w:sectPr w:rsidR="00912F01" w:rsidRPr="00A75F1B" w:rsidSect="006421E2">
      <w:pgSz w:w="11906" w:h="16838"/>
      <w:pgMar w:top="1440" w:right="926" w:bottom="90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F5F35"/>
    <w:multiLevelType w:val="hybridMultilevel"/>
    <w:tmpl w:val="A0320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07"/>
    <w:rsid w:val="000071C6"/>
    <w:rsid w:val="00015C98"/>
    <w:rsid w:val="00121FBE"/>
    <w:rsid w:val="00171CFF"/>
    <w:rsid w:val="001C0D49"/>
    <w:rsid w:val="002279C3"/>
    <w:rsid w:val="002C5026"/>
    <w:rsid w:val="003478C3"/>
    <w:rsid w:val="0043052C"/>
    <w:rsid w:val="004440FF"/>
    <w:rsid w:val="00492A92"/>
    <w:rsid w:val="004E7CA6"/>
    <w:rsid w:val="0057006F"/>
    <w:rsid w:val="005F117A"/>
    <w:rsid w:val="006421E2"/>
    <w:rsid w:val="006D2490"/>
    <w:rsid w:val="006E579B"/>
    <w:rsid w:val="00761D82"/>
    <w:rsid w:val="00765A30"/>
    <w:rsid w:val="007B67FD"/>
    <w:rsid w:val="00823421"/>
    <w:rsid w:val="00847947"/>
    <w:rsid w:val="008C7D1F"/>
    <w:rsid w:val="00912F01"/>
    <w:rsid w:val="009A6DB3"/>
    <w:rsid w:val="00A66E0A"/>
    <w:rsid w:val="00A75F1B"/>
    <w:rsid w:val="00AD53DF"/>
    <w:rsid w:val="00AF25F9"/>
    <w:rsid w:val="00BD7444"/>
    <w:rsid w:val="00BF02C2"/>
    <w:rsid w:val="00D013F2"/>
    <w:rsid w:val="00D16F3C"/>
    <w:rsid w:val="00D74064"/>
    <w:rsid w:val="00DC7DAE"/>
    <w:rsid w:val="00DD0643"/>
    <w:rsid w:val="00DE0507"/>
    <w:rsid w:val="00E178A6"/>
    <w:rsid w:val="00F84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E9E0"/>
  <w15:chartTrackingRefBased/>
  <w15:docId w15:val="{C5505C20-A5B9-44FF-9185-CEA04628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507"/>
    <w:rPr>
      <w:color w:val="0563C1" w:themeColor="hyperlink"/>
      <w:u w:val="single"/>
    </w:rPr>
  </w:style>
  <w:style w:type="character" w:styleId="UnresolvedMention">
    <w:name w:val="Unresolved Mention"/>
    <w:basedOn w:val="DefaultParagraphFont"/>
    <w:uiPriority w:val="99"/>
    <w:semiHidden/>
    <w:unhideWhenUsed/>
    <w:rsid w:val="00DE0507"/>
    <w:rPr>
      <w:color w:val="605E5C"/>
      <w:shd w:val="clear" w:color="auto" w:fill="E1DFDD"/>
    </w:rPr>
  </w:style>
  <w:style w:type="table" w:styleId="TableGrid">
    <w:name w:val="Table Grid"/>
    <w:basedOn w:val="TableNormal"/>
    <w:uiPriority w:val="59"/>
    <w:rsid w:val="004E7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E0A"/>
    <w:pPr>
      <w:ind w:left="720"/>
      <w:contextualSpacing/>
    </w:pPr>
  </w:style>
  <w:style w:type="paragraph" w:styleId="NoSpacing">
    <w:name w:val="No Spacing"/>
    <w:uiPriority w:val="1"/>
    <w:qFormat/>
    <w:rsid w:val="008C7D1F"/>
    <w:pPr>
      <w:spacing w:after="0" w:line="240" w:lineRule="auto"/>
    </w:pPr>
  </w:style>
  <w:style w:type="character" w:styleId="FollowedHyperlink">
    <w:name w:val="FollowedHyperlink"/>
    <w:basedOn w:val="DefaultParagraphFont"/>
    <w:uiPriority w:val="99"/>
    <w:semiHidden/>
    <w:unhideWhenUsed/>
    <w:rsid w:val="006D2490"/>
    <w:rPr>
      <w:color w:val="954F72" w:themeColor="followedHyperlink"/>
      <w:u w:val="single"/>
    </w:rPr>
  </w:style>
  <w:style w:type="paragraph" w:styleId="BalloonText">
    <w:name w:val="Balloon Text"/>
    <w:basedOn w:val="Normal"/>
    <w:link w:val="BalloonTextChar"/>
    <w:uiPriority w:val="99"/>
    <w:semiHidden/>
    <w:unhideWhenUsed/>
    <w:rsid w:val="00007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C6"/>
    <w:rPr>
      <w:rFonts w:ascii="Segoe UI" w:hAnsi="Segoe UI" w:cs="Segoe UI"/>
      <w:sz w:val="18"/>
      <w:szCs w:val="18"/>
    </w:rPr>
  </w:style>
  <w:style w:type="paragraph" w:customStyle="1" w:styleId="1">
    <w:name w:val="1"/>
    <w:basedOn w:val="Normal"/>
    <w:rsid w:val="00015C98"/>
    <w:pPr>
      <w:spacing w:after="0" w:line="240" w:lineRule="auto"/>
    </w:pPr>
    <w:rPr>
      <w:rFonts w:asciiTheme="majorHAnsi" w:eastAsiaTheme="minorEastAsia" w:hAnsiTheme="majorHAnsi"/>
      <w:sz w:val="24"/>
      <w:szCs w:val="24"/>
      <w:lang w:val="en-US" w:eastAsia="ja-JP"/>
    </w:rPr>
  </w:style>
  <w:style w:type="paragraph" w:styleId="HTMLPreformatted">
    <w:name w:val="HTML Preformatted"/>
    <w:basedOn w:val="Normal"/>
    <w:link w:val="HTMLPreformattedChar"/>
    <w:uiPriority w:val="99"/>
    <w:unhideWhenUsed/>
    <w:rsid w:val="0001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015C98"/>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nuheara.com/suppor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939D3B7A5D04D955B54DDB6029DE6" ma:contentTypeVersion="12" ma:contentTypeDescription="Create a new document." ma:contentTypeScope="" ma:versionID="7286726e5e3c5fa11c80944fb5802d93">
  <xsd:schema xmlns:xsd="http://www.w3.org/2001/XMLSchema" xmlns:xs="http://www.w3.org/2001/XMLSchema" xmlns:p="http://schemas.microsoft.com/office/2006/metadata/properties" xmlns:ns2="34a33a31-e79f-48b7-9aa1-032cc37837c5" xmlns:ns3="406ef8c2-e54e-4fcb-8f12-4a0267b6f31e" xmlns:ns4="dfd71e5c-6132-4a05-891a-e1f4812e455a" targetNamespace="http://schemas.microsoft.com/office/2006/metadata/properties" ma:root="true" ma:fieldsID="72e9374056dbccae6f3cd6783a85abd6" ns2:_="" ns3:_="" ns4:_="">
    <xsd:import namespace="34a33a31-e79f-48b7-9aa1-032cc37837c5"/>
    <xsd:import namespace="406ef8c2-e54e-4fcb-8f12-4a0267b6f31e"/>
    <xsd:import namespace="dfd71e5c-6132-4a05-891a-e1f4812e455a"/>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33a31-e79f-48b7-9aa1-032cc37837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ef8c2-e54e-4fcb-8f12-4a0267b6f31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d71e5c-6132-4a05-891a-e1f4812e455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75CD0-B4FB-40BF-9DEE-AC72FD1A5A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ED2D32-6167-4356-8197-5755FE93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33a31-e79f-48b7-9aa1-032cc37837c5"/>
    <ds:schemaRef ds:uri="406ef8c2-e54e-4fcb-8f12-4a0267b6f31e"/>
    <ds:schemaRef ds:uri="dfd71e5c-6132-4a05-891a-e1f4812e4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2EB84-622F-49B9-A90A-C0382D249F8E}">
  <ds:schemaRefs>
    <ds:schemaRef ds:uri="http://schemas.microsoft.com/sharepoint/v3/contenttype/forms"/>
  </ds:schemaRefs>
</ds:datastoreItem>
</file>

<file path=customXml/itemProps4.xml><?xml version="1.0" encoding="utf-8"?>
<ds:datastoreItem xmlns:ds="http://schemas.openxmlformats.org/officeDocument/2006/customXml" ds:itemID="{B7390341-6619-4FC9-BFE4-85B61E06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Buonocore</dc:creator>
  <cp:keywords/>
  <dc:description/>
  <cp:lastModifiedBy>Michelle Anderton</cp:lastModifiedBy>
  <cp:revision>4</cp:revision>
  <cp:lastPrinted>2019-04-26T07:37:00Z</cp:lastPrinted>
  <dcterms:created xsi:type="dcterms:W3CDTF">2019-04-26T08:15:00Z</dcterms:created>
  <dcterms:modified xsi:type="dcterms:W3CDTF">2019-05-24T03:51:00Z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0x010100382939D3B7A5D04D955B54DDB6029DE6</vt:lpwstr>
  </property>
</Properties>
</file>