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FD214" w14:textId="139E148B" w:rsidR="00AF25F9" w:rsidRPr="004435E1" w:rsidRDefault="00F848D8">
      <w:pPr>
        <w:rPr>
          <w:rFonts w:ascii="Malgun Gothic" w:eastAsia="Malgun Gothic" w:hAnsi="Malgun Gothic" w:cs="Calibri"/>
          <w:b/>
          <w:sz w:val="24"/>
          <w:szCs w:val="24"/>
        </w:rPr>
      </w:pPr>
      <w:bookmarkStart w:id="0" w:name="_GoBack"/>
      <w:bookmarkEnd w:id="0"/>
      <w:r w:rsidRPr="004435E1">
        <w:rPr>
          <w:rFonts w:ascii="Malgun Gothic" w:eastAsia="Malgun Gothic" w:hAnsi="Malgun Gothic" w:hint="eastAsia"/>
          <w:b/>
          <w:sz w:val="24"/>
          <w:szCs w:val="24"/>
        </w:rPr>
        <w:t>안전 및 취급</w:t>
      </w:r>
    </w:p>
    <w:p w14:paraId="16D15DB9" w14:textId="692048C0" w:rsidR="00AF25F9" w:rsidRPr="004435E1" w:rsidRDefault="00A66E0A">
      <w:pPr>
        <w:rPr>
          <w:rFonts w:ascii="Malgun Gothic" w:eastAsia="Malgun Gothic" w:hAnsi="Malgun Gothic" w:cs="Calibri"/>
        </w:rPr>
      </w:pPr>
      <w:r w:rsidRPr="004435E1">
        <w:rPr>
          <w:rFonts w:ascii="Malgun Gothic" w:eastAsia="Malgun Gothic" w:hAnsi="Malgun Gothic" w:hint="eastAsia"/>
        </w:rPr>
        <w:t xml:space="preserve">Nuheara </w:t>
      </w:r>
      <w:proofErr w:type="spellStart"/>
      <w:r w:rsidRPr="004435E1">
        <w:rPr>
          <w:rFonts w:ascii="Malgun Gothic" w:eastAsia="Malgun Gothic" w:hAnsi="Malgun Gothic" w:hint="eastAsia"/>
        </w:rPr>
        <w:t>IQstream</w:t>
      </w:r>
      <w:proofErr w:type="spellEnd"/>
      <w:r w:rsidRPr="004435E1">
        <w:rPr>
          <w:rFonts w:ascii="Malgun Gothic" w:eastAsia="Malgun Gothic" w:hAnsi="Malgun Gothic" w:hint="eastAsia"/>
        </w:rPr>
        <w:t xml:space="preserve"> TV 모델 NU410은 실내에서 사용해야 합니다.</w:t>
      </w:r>
    </w:p>
    <w:p w14:paraId="6C8630ED" w14:textId="0F1F48D2" w:rsidR="00A66E0A" w:rsidRPr="004435E1" w:rsidRDefault="00A66E0A">
      <w:pPr>
        <w:rPr>
          <w:rFonts w:ascii="Malgun Gothic" w:eastAsia="Malgun Gothic" w:hAnsi="Malgun Gothic" w:cs="Calibri"/>
        </w:rPr>
      </w:pPr>
      <w:r w:rsidRPr="004435E1">
        <w:rPr>
          <w:rFonts w:ascii="Malgun Gothic" w:eastAsia="Malgun Gothic" w:hAnsi="Malgun Gothic" w:hint="eastAsia"/>
        </w:rPr>
        <w:t xml:space="preserve">안전한 작동을 위해 기기를 액체에 담그지 마십시오.  </w:t>
      </w:r>
    </w:p>
    <w:p w14:paraId="3E8283FF" w14:textId="0A6491EC" w:rsidR="00A66E0A" w:rsidRPr="004435E1" w:rsidRDefault="00A66E0A">
      <w:pPr>
        <w:rPr>
          <w:rFonts w:ascii="Malgun Gothic" w:eastAsia="Malgun Gothic" w:hAnsi="Malgun Gothic" w:cs="Calibri"/>
        </w:rPr>
      </w:pPr>
      <w:r w:rsidRPr="004435E1">
        <w:rPr>
          <w:rFonts w:ascii="Malgun Gothic" w:eastAsia="Malgun Gothic" w:hAnsi="Malgun Gothic" w:hint="eastAsia"/>
        </w:rPr>
        <w:t xml:space="preserve">수명이 끝났을 때 </w:t>
      </w:r>
      <w:proofErr w:type="spellStart"/>
      <w:r w:rsidRPr="004435E1">
        <w:rPr>
          <w:rFonts w:ascii="Malgun Gothic" w:eastAsia="Malgun Gothic" w:hAnsi="Malgun Gothic" w:hint="eastAsia"/>
        </w:rPr>
        <w:t>IQstream</w:t>
      </w:r>
      <w:proofErr w:type="spellEnd"/>
      <w:r w:rsidRPr="004435E1">
        <w:rPr>
          <w:rFonts w:ascii="Malgun Gothic" w:eastAsia="Malgun Gothic" w:hAnsi="Malgun Gothic" w:hint="eastAsia"/>
        </w:rPr>
        <w:t xml:space="preserve"> TV를 배터리/전자 폐기물 수거 센터에 폐기하십시오.</w:t>
      </w:r>
    </w:p>
    <w:p w14:paraId="1927D0A2" w14:textId="6B57579E" w:rsidR="00D74064" w:rsidRPr="004435E1" w:rsidRDefault="00D74064">
      <w:pPr>
        <w:rPr>
          <w:rFonts w:ascii="Malgun Gothic" w:eastAsia="Malgun Gothic" w:hAnsi="Malgun Gothic" w:cs="Calibri"/>
        </w:rPr>
      </w:pPr>
      <w:proofErr w:type="spellStart"/>
      <w:r w:rsidRPr="004435E1">
        <w:rPr>
          <w:rFonts w:ascii="Malgun Gothic" w:eastAsia="Malgun Gothic" w:hAnsi="Malgun Gothic" w:hint="eastAsia"/>
        </w:rPr>
        <w:t>IQstream</w:t>
      </w:r>
      <w:proofErr w:type="spellEnd"/>
      <w:r w:rsidRPr="004435E1">
        <w:rPr>
          <w:rFonts w:ascii="Malgun Gothic" w:eastAsia="Malgun Gothic" w:hAnsi="Malgun Gothic" w:hint="eastAsia"/>
        </w:rPr>
        <w:t xml:space="preserve"> TV 기기의 정격 전압은 4.40-5.25V입니다.</w:t>
      </w:r>
    </w:p>
    <w:p w14:paraId="6521A90A" w14:textId="18E605B2" w:rsidR="00D74064" w:rsidRPr="004435E1" w:rsidRDefault="00D74064">
      <w:pPr>
        <w:rPr>
          <w:rFonts w:ascii="Malgun Gothic" w:eastAsia="Malgun Gothic" w:hAnsi="Malgun Gothic" w:cs="Calibri"/>
        </w:rPr>
      </w:pPr>
      <w:r w:rsidRPr="004435E1">
        <w:rPr>
          <w:rFonts w:ascii="Malgun Gothic" w:eastAsia="Malgun Gothic" w:hAnsi="Malgun Gothic" w:hint="eastAsia"/>
        </w:rPr>
        <w:t xml:space="preserve">지원 및 문제 해결에 대해 알아보려면 </w:t>
      </w:r>
      <w:hyperlink r:id="rId10" w:history="1">
        <w:r w:rsidRPr="004435E1">
          <w:rPr>
            <w:rStyle w:val="Hyperlink"/>
            <w:rFonts w:ascii="Malgun Gothic" w:eastAsia="Malgun Gothic" w:hAnsi="Malgun Gothic" w:hint="eastAsia"/>
          </w:rPr>
          <w:t>www.nuheara.com/support</w:t>
        </w:r>
      </w:hyperlink>
      <w:r w:rsidRPr="004435E1">
        <w:rPr>
          <w:rFonts w:ascii="Malgun Gothic" w:eastAsia="Malgun Gothic" w:hAnsi="Malgun Gothic" w:hint="eastAsia"/>
        </w:rPr>
        <w:t xml:space="preserve">를 참조하십시오. </w:t>
      </w:r>
    </w:p>
    <w:p w14:paraId="548FD092" w14:textId="00BA1E93" w:rsidR="00AF25F9" w:rsidRPr="004435E1" w:rsidRDefault="00492A92">
      <w:pPr>
        <w:rPr>
          <w:rFonts w:ascii="Malgun Gothic" w:eastAsia="Malgun Gothic" w:hAnsi="Malgun Gothic" w:cs="Calibri"/>
          <w:b/>
          <w:sz w:val="24"/>
          <w:szCs w:val="24"/>
        </w:rPr>
      </w:pPr>
      <w:r w:rsidRPr="004435E1">
        <w:rPr>
          <w:rFonts w:ascii="Malgun Gothic" w:eastAsia="Malgun Gothic" w:hAnsi="Malgun Gothic" w:hint="eastAsia"/>
          <w:b/>
          <w:sz w:val="24"/>
          <w:szCs w:val="24"/>
        </w:rPr>
        <w:t>전기 및 전자 폐기물(WEEE)의 폐기에 대한 정보</w:t>
      </w:r>
    </w:p>
    <w:p w14:paraId="7F33A9DE" w14:textId="51A81C66" w:rsidR="00492A92" w:rsidRPr="004435E1" w:rsidRDefault="00492A92">
      <w:pPr>
        <w:rPr>
          <w:rFonts w:ascii="Malgun Gothic" w:eastAsia="Malgun Gothic" w:hAnsi="Malgun Gothic" w:cs="Calibri"/>
        </w:rPr>
      </w:pPr>
      <w:r w:rsidRPr="004435E1">
        <w:rPr>
          <w:rFonts w:ascii="Malgun Gothic" w:eastAsia="Malgun Gothic" w:hAnsi="Malgun Gothic" w:hint="eastAsia"/>
        </w:rPr>
        <w:t>전기 및 전자 폐기물을 일반 가정용 쓰레기와 함께 버리면 안 됩니다. 적합한 처리, 수거, 재활용을 위해, 이 제품을 무료로 운영되는 지정된 분리 수거 장소에 폐기하십시오.</w:t>
      </w:r>
    </w:p>
    <w:p w14:paraId="395647C7" w14:textId="3D00BAE7" w:rsidR="00492A92" w:rsidRPr="004435E1" w:rsidRDefault="00492A92">
      <w:pPr>
        <w:rPr>
          <w:rFonts w:ascii="Malgun Gothic" w:eastAsia="Malgun Gothic" w:hAnsi="Malgun Gothic" w:cs="Calibri"/>
        </w:rPr>
      </w:pPr>
      <w:r w:rsidRPr="004435E1">
        <w:rPr>
          <w:rFonts w:ascii="Malgun Gothic" w:eastAsia="Malgun Gothic" w:hAnsi="Malgun Gothic" w:hint="eastAsia"/>
        </w:rPr>
        <w:t>또는 일부 국가에서는 새 제품을 구입했을 때 현지의 소매점에 폐기물을 반납할 수도 있습니다.</w:t>
      </w:r>
    </w:p>
    <w:p w14:paraId="600EF899" w14:textId="765AE08A" w:rsidR="00492A92" w:rsidRPr="004435E1" w:rsidRDefault="00492A92">
      <w:pPr>
        <w:rPr>
          <w:rFonts w:ascii="Malgun Gothic" w:eastAsia="Malgun Gothic" w:hAnsi="Malgun Gothic" w:cs="Calibri"/>
        </w:rPr>
      </w:pPr>
      <w:r w:rsidRPr="004435E1">
        <w:rPr>
          <w:rFonts w:ascii="Malgun Gothic" w:eastAsia="Malgun Gothic" w:hAnsi="Malgun Gothic" w:hint="eastAsia"/>
        </w:rPr>
        <w:t>이 제품을 올바로 폐기하면 귀중한 자원을 절약하고 발생 가능한 인체 및 환경에 대한 악영향을 예방하는 데 도움이 됩니다. 반대로 폐기물을 부적절하게 처리하면 그러한 악영향이 발생할 수 있습니다.</w:t>
      </w:r>
    </w:p>
    <w:p w14:paraId="1765007A" w14:textId="132BE45D" w:rsidR="00492A92" w:rsidRPr="004435E1" w:rsidRDefault="00492A92">
      <w:pPr>
        <w:rPr>
          <w:rFonts w:ascii="Malgun Gothic" w:eastAsia="Malgun Gothic" w:hAnsi="Malgun Gothic" w:cs="Calibri"/>
        </w:rPr>
      </w:pPr>
      <w:r w:rsidRPr="004435E1">
        <w:rPr>
          <w:rFonts w:ascii="Malgun Gothic" w:eastAsia="Malgun Gothic" w:hAnsi="Malgun Gothic" w:hint="eastAsia"/>
        </w:rPr>
        <w:t>가까운 지정 수거 장소에 대해 자세히 알아보려면 현지의 관계 당국에 문의하십시오.</w:t>
      </w:r>
    </w:p>
    <w:p w14:paraId="1EF6C785" w14:textId="15E4838D" w:rsidR="00492A92" w:rsidRPr="004435E1" w:rsidRDefault="00492A92">
      <w:pPr>
        <w:rPr>
          <w:rFonts w:ascii="Malgun Gothic" w:eastAsia="Malgun Gothic" w:hAnsi="Malgun Gothic" w:cs="Calibri"/>
        </w:rPr>
      </w:pPr>
      <w:r w:rsidRPr="004435E1">
        <w:rPr>
          <w:rFonts w:ascii="Malgun Gothic" w:eastAsia="Malgun Gothic" w:hAnsi="Malgun Gothic" w:hint="eastAsia"/>
        </w:rPr>
        <w:t>이 폐기물을 잘못 폐기하면 해당 국가의 법률에 따라 처벌을 받을 수 있습니다.</w:t>
      </w:r>
    </w:p>
    <w:p w14:paraId="1EABBF9A" w14:textId="6EF54628" w:rsidR="007B67FD" w:rsidRPr="004435E1" w:rsidRDefault="00DE0507">
      <w:pPr>
        <w:rPr>
          <w:rFonts w:ascii="Malgun Gothic" w:eastAsia="Malgun Gothic" w:hAnsi="Malgun Gothic" w:cs="Calibri"/>
          <w:b/>
          <w:sz w:val="24"/>
          <w:szCs w:val="24"/>
        </w:rPr>
      </w:pPr>
      <w:r w:rsidRPr="004435E1">
        <w:rPr>
          <w:rFonts w:ascii="Malgun Gothic" w:eastAsia="Malgun Gothic" w:hAnsi="Malgun Gothic" w:hint="eastAsia"/>
          <w:b/>
          <w:sz w:val="24"/>
          <w:szCs w:val="24"/>
        </w:rPr>
        <w:t xml:space="preserve">Nuheara </w:t>
      </w:r>
      <w:proofErr w:type="spellStart"/>
      <w:r w:rsidRPr="004435E1">
        <w:rPr>
          <w:rFonts w:ascii="Malgun Gothic" w:eastAsia="Malgun Gothic" w:hAnsi="Malgun Gothic" w:hint="eastAsia"/>
          <w:b/>
          <w:sz w:val="24"/>
          <w:szCs w:val="24"/>
        </w:rPr>
        <w:t>IQstream</w:t>
      </w:r>
      <w:proofErr w:type="spellEnd"/>
      <w:r w:rsidRPr="004435E1">
        <w:rPr>
          <w:rFonts w:ascii="Malgun Gothic" w:eastAsia="Malgun Gothic" w:hAnsi="Malgun Gothic" w:hint="eastAsia"/>
          <w:b/>
          <w:sz w:val="24"/>
          <w:szCs w:val="24"/>
        </w:rPr>
        <w:t xml:space="preserve"> TV 보증 요약</w:t>
      </w:r>
    </w:p>
    <w:p w14:paraId="07DC011A" w14:textId="45D45E43" w:rsidR="00DE0507" w:rsidRPr="004435E1" w:rsidRDefault="00DE0507">
      <w:pPr>
        <w:rPr>
          <w:rFonts w:ascii="Malgun Gothic" w:eastAsia="Malgun Gothic" w:hAnsi="Malgun Gothic" w:cs="Calibri"/>
        </w:rPr>
      </w:pPr>
      <w:r w:rsidRPr="004435E1">
        <w:rPr>
          <w:rFonts w:ascii="Malgun Gothic" w:eastAsia="Malgun Gothic" w:hAnsi="Malgun Gothic" w:hint="eastAsia"/>
        </w:rPr>
        <w:t>구입하신 제품은 관련 사용 설명서에 따라 사용했다면 Nuheara 공식 판매점에서 구입할 경우 최초 소매 구매일로부터 또는 Nuheara 웹사이트(</w:t>
      </w:r>
      <w:hyperlink r:id="rId11" w:history="1">
        <w:r w:rsidRPr="004435E1">
          <w:rPr>
            <w:rStyle w:val="Hyperlink"/>
            <w:rFonts w:ascii="Malgun Gothic" w:eastAsia="Malgun Gothic" w:hAnsi="Malgun Gothic" w:hint="eastAsia"/>
          </w:rPr>
          <w:t>www.nuheara.com</w:t>
        </w:r>
      </w:hyperlink>
      <w:r w:rsidRPr="004435E1">
        <w:rPr>
          <w:rFonts w:ascii="Malgun Gothic" w:eastAsia="Malgun Gothic" w:hAnsi="Malgun Gothic" w:hint="eastAsia"/>
        </w:rPr>
        <w:t xml:space="preserve">)에서 구입한 경우 구매일로부터 보증 기간 동안 재료 및 제작상의 결함에 대한 보증이 적용됩니다. </w:t>
      </w:r>
    </w:p>
    <w:p w14:paraId="44A106F5" w14:textId="78FA58D8" w:rsidR="00DE0507" w:rsidRPr="004435E1" w:rsidRDefault="00DE0507">
      <w:pPr>
        <w:rPr>
          <w:rFonts w:ascii="Malgun Gothic" w:eastAsia="Malgun Gothic" w:hAnsi="Malgun Gothic" w:cs="Calibri"/>
        </w:rPr>
      </w:pPr>
      <w:r w:rsidRPr="004435E1">
        <w:rPr>
          <w:rFonts w:ascii="Malgun Gothic" w:eastAsia="Malgun Gothic" w:hAnsi="Malgun Gothic" w:hint="eastAsia"/>
        </w:rPr>
        <w:t>보증 기간은 1년 또는 판매 국가의 규제 요건에 따라 의무적으로 적용되는 최소 기간입니다.</w:t>
      </w:r>
    </w:p>
    <w:p w14:paraId="372F406B" w14:textId="748F77C1" w:rsidR="003478C3" w:rsidRPr="004435E1" w:rsidRDefault="003478C3">
      <w:pPr>
        <w:rPr>
          <w:rFonts w:ascii="Malgun Gothic" w:eastAsia="Malgun Gothic" w:hAnsi="Malgun Gothic" w:cs="Calibri"/>
        </w:rPr>
      </w:pPr>
      <w:r w:rsidRPr="004435E1">
        <w:rPr>
          <w:rFonts w:ascii="Malgun Gothic" w:eastAsia="Malgun Gothic" w:hAnsi="Malgun Gothic" w:hint="eastAsia"/>
        </w:rPr>
        <w:t>제품을 교환하는 경우 교환 제품은 고객의 자산이 되고 해당 제품은 Nuheara의 자산이 됩니다. 환급이 이루어지는 경우 해당 제품은 Nuheara의 자산이 됩니다.</w:t>
      </w:r>
    </w:p>
    <w:p w14:paraId="6C6046A7" w14:textId="12C740B8" w:rsidR="00DE0507" w:rsidRPr="004435E1" w:rsidRDefault="00DE0507">
      <w:pPr>
        <w:rPr>
          <w:rFonts w:ascii="Malgun Gothic" w:eastAsia="Malgun Gothic" w:hAnsi="Malgun Gothic" w:cs="Calibri"/>
        </w:rPr>
      </w:pPr>
      <w:r w:rsidRPr="004435E1">
        <w:rPr>
          <w:rFonts w:ascii="Malgun Gothic" w:eastAsia="Malgun Gothic" w:hAnsi="Malgun Gothic" w:hint="eastAsia"/>
        </w:rPr>
        <w:t>정상적은 마모, 오용, 배송 파손 또는 사용 설명서를 따르지 않은 제품 사용으로 인한 결함의 경우에는 이 보증이 적용되지 않습니다. 허가를 받지 않은 수리 또는 개조가 이루어지거나 제품 라벨의 제거 또는 손상이 발생하면 이 보증은 무효화됩니다.</w:t>
      </w:r>
    </w:p>
    <w:p w14:paraId="010A7D55" w14:textId="040D56E9" w:rsidR="00DE0507" w:rsidRPr="004435E1" w:rsidRDefault="00DE0507">
      <w:pPr>
        <w:rPr>
          <w:rFonts w:ascii="Malgun Gothic" w:eastAsia="Malgun Gothic" w:hAnsi="Malgun Gothic" w:cs="Calibri"/>
        </w:rPr>
      </w:pPr>
      <w:r w:rsidRPr="004435E1">
        <w:rPr>
          <w:rFonts w:ascii="Malgun Gothic" w:eastAsia="Malgun Gothic" w:hAnsi="Malgun Gothic" w:hint="eastAsia"/>
        </w:rPr>
        <w:lastRenderedPageBreak/>
        <w:t>관련 법률에 따라 불가능한 경우를 제외하고, Nuheara는 보증 위반, 과실, 엄격 책임, 불법 행위를 바탕으로 한 것이든 아니든 해당 제품 또는 그 제품의 사용이나 고장과 관련해 직접적으로 또는 간접적으로 발생하는 결과적, 우발적, 직접적 또는 특별한 피해에 대해 배상 책임을 지지 않습니다.</w:t>
      </w:r>
    </w:p>
    <w:p w14:paraId="0ECBE018" w14:textId="334E305E" w:rsidR="003478C3" w:rsidRPr="004435E1" w:rsidRDefault="003478C3">
      <w:pPr>
        <w:rPr>
          <w:rFonts w:ascii="Malgun Gothic" w:eastAsia="Malgun Gothic" w:hAnsi="Malgun Gothic" w:cs="Calibri"/>
        </w:rPr>
      </w:pPr>
      <w:r w:rsidRPr="004435E1">
        <w:rPr>
          <w:rFonts w:ascii="Malgun Gothic" w:eastAsia="Malgun Gothic" w:hAnsi="Malgun Gothic" w:hint="eastAsia"/>
        </w:rPr>
        <w:t>Nuheara 재판매점, 대리점 또는 직원은 이 보증과 관련해 수정, 연장 또는 추가할 권한이 없습니다.</w:t>
      </w:r>
    </w:p>
    <w:p w14:paraId="59A24FCD" w14:textId="42DC5A84" w:rsidR="00AB1E82" w:rsidRPr="004435E1" w:rsidRDefault="00AB1E82">
      <w:pPr>
        <w:rPr>
          <w:rFonts w:ascii="Malgun Gothic" w:eastAsia="Malgun Gothic" w:hAnsi="Malgun Gothic" w:cs="Calibri"/>
        </w:rPr>
      </w:pPr>
    </w:p>
    <w:p w14:paraId="1A895B23" w14:textId="77777777" w:rsidR="00AB1E82" w:rsidRPr="004435E1" w:rsidRDefault="00AB1E82">
      <w:pPr>
        <w:rPr>
          <w:rFonts w:ascii="Malgun Gothic" w:eastAsia="Malgun Gothic" w:hAnsi="Malgun Gothic" w:cs="Calibri"/>
        </w:rPr>
      </w:pPr>
    </w:p>
    <w:p w14:paraId="4DADB542" w14:textId="71F0475D" w:rsidR="003478C3" w:rsidRPr="004435E1" w:rsidRDefault="003478C3">
      <w:pPr>
        <w:rPr>
          <w:rFonts w:ascii="Malgun Gothic" w:eastAsia="Malgun Gothic" w:hAnsi="Malgun Gothic" w:cs="Calibri"/>
        </w:rPr>
      </w:pPr>
      <w:r w:rsidRPr="004435E1">
        <w:rPr>
          <w:rFonts w:ascii="Malgun Gothic" w:eastAsia="Malgun Gothic" w:hAnsi="Malgun Gothic" w:hint="eastAsia"/>
        </w:rPr>
        <w:t>일부 국가는 그러한 보증, 조건 및/또는 묵시적 조건의 유효 기간에 대해 제한을 허용하지 않기 때문에 위에 나온 제한이 고객에게 적용되지 않을 수도 있습니다. 이 보증은 고객 보호 법규에 따른 권리 및 구제책과 더불어 제공되며, 법정 권리 포기가 불가능하고 관련 법정 권리에 영향을 미치지 않습니다. 관련 법률에 따라 허용된다면 묵시적 보증의 기간은 1년입니다.</w:t>
      </w:r>
    </w:p>
    <w:p w14:paraId="111A3A76" w14:textId="29EEAA6E" w:rsidR="003478C3" w:rsidRPr="004435E1" w:rsidRDefault="003478C3">
      <w:pPr>
        <w:rPr>
          <w:rFonts w:ascii="Malgun Gothic" w:eastAsia="Malgun Gothic" w:hAnsi="Malgun Gothic" w:cs="Calibri"/>
        </w:rPr>
      </w:pPr>
      <w:r w:rsidRPr="004435E1">
        <w:rPr>
          <w:rFonts w:ascii="Malgun Gothic" w:eastAsia="Malgun Gothic" w:hAnsi="Malgun Gothic" w:hint="eastAsia"/>
        </w:rPr>
        <w:t>호주 고객의 경우: Nuheara 제품에는 호주 소비자법에 따라 배제할 수 없는 보증이 적용됩니다. 고객은 중대한 고장에 대해 교환이나 환불을 받거나 그밖에 예측할 수 있는 손실이나 피해에 대해 보상을 받을 수 있습니다. 또한 제품이 허용되는 품질을 충족시키지 못하고 그러한 고장이 중대한 고장에 해당되지 않는다면 제품 수리 또는 교환을 받을 수 있습니다.</w:t>
      </w:r>
    </w:p>
    <w:p w14:paraId="440D0A50" w14:textId="3C6807FE" w:rsidR="003478C3" w:rsidRPr="004435E1" w:rsidRDefault="003478C3">
      <w:pPr>
        <w:rPr>
          <w:rFonts w:ascii="Malgun Gothic" w:eastAsia="Malgun Gothic" w:hAnsi="Malgun Gothic" w:cs="Calibri"/>
        </w:rPr>
      </w:pPr>
      <w:r w:rsidRPr="004435E1">
        <w:rPr>
          <w:rFonts w:ascii="Malgun Gothic" w:eastAsia="Malgun Gothic" w:hAnsi="Malgun Gothic" w:hint="eastAsia"/>
        </w:rPr>
        <w:t xml:space="preserve">보증 조건에 대한 자세한 내용을 보려면 </w:t>
      </w:r>
      <w:hyperlink r:id="rId12" w:history="1">
        <w:r w:rsidRPr="004435E1">
          <w:rPr>
            <w:rStyle w:val="Hyperlink"/>
            <w:rFonts w:ascii="Malgun Gothic" w:eastAsia="Malgun Gothic" w:hAnsi="Malgun Gothic" w:hint="eastAsia"/>
          </w:rPr>
          <w:t>http://www.nuheara.com/Nuheara-warranty/</w:t>
        </w:r>
      </w:hyperlink>
      <w:r w:rsidRPr="004435E1">
        <w:rPr>
          <w:rFonts w:ascii="Malgun Gothic" w:eastAsia="Malgun Gothic" w:hAnsi="Malgun Gothic" w:hint="eastAsia"/>
        </w:rPr>
        <w:t xml:space="preserve">를 참조하십시오.  </w:t>
      </w:r>
    </w:p>
    <w:p w14:paraId="7E07624D" w14:textId="7F4D6C0A" w:rsidR="0026395B" w:rsidRPr="004435E1" w:rsidRDefault="0026395B">
      <w:pPr>
        <w:rPr>
          <w:rFonts w:ascii="Malgun Gothic" w:eastAsia="Malgun Gothic" w:hAnsi="Malgun Gothic" w:cs="Calibri"/>
        </w:rPr>
      </w:pPr>
      <w:r w:rsidRPr="004435E1">
        <w:rPr>
          <w:rFonts w:ascii="Malgun Gothic" w:eastAsia="Malgun Gothic" w:hAnsi="Malgun Gothic" w:hint="eastAsia"/>
          <w:noProof/>
        </w:rPr>
        <w:drawing>
          <wp:inline distT="0" distB="0" distL="0" distR="0" wp14:anchorId="0C46814C" wp14:editId="5790FC1C">
            <wp:extent cx="606135" cy="60960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38616" cy="642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36B53E" w14:textId="77777777" w:rsidR="0026395B" w:rsidRPr="004435E1" w:rsidRDefault="0026395B">
      <w:pPr>
        <w:rPr>
          <w:rFonts w:ascii="Malgun Gothic" w:eastAsia="Malgun Gothic" w:hAnsi="Malgun Gothic" w:cs="Calibri"/>
        </w:rPr>
      </w:pPr>
    </w:p>
    <w:p w14:paraId="1DBF172A" w14:textId="77777777" w:rsidR="0026395B" w:rsidRPr="004435E1" w:rsidRDefault="0026395B">
      <w:pPr>
        <w:rPr>
          <w:rFonts w:ascii="Malgun Gothic" w:eastAsia="Malgun Gothic" w:hAnsi="Malgun Gothic" w:cs="Calibri"/>
        </w:rPr>
      </w:pPr>
    </w:p>
    <w:p w14:paraId="46DCE67C" w14:textId="2E57AB7D" w:rsidR="003478C3" w:rsidRPr="004435E1" w:rsidRDefault="004E7CA6">
      <w:pPr>
        <w:rPr>
          <w:rFonts w:ascii="Malgun Gothic" w:eastAsia="Malgun Gothic" w:hAnsi="Malgun Gothic" w:cs="Calibri"/>
          <w:b/>
          <w:sz w:val="24"/>
          <w:szCs w:val="24"/>
        </w:rPr>
      </w:pPr>
      <w:r w:rsidRPr="004435E1">
        <w:rPr>
          <w:rFonts w:ascii="Malgun Gothic" w:eastAsia="Malgun Gothic" w:hAnsi="Malgun Gothic" w:hint="eastAsia"/>
          <w:b/>
          <w:sz w:val="24"/>
          <w:szCs w:val="24"/>
        </w:rPr>
        <w:t>규제 준수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4677"/>
        <w:gridCol w:w="2784"/>
      </w:tblGrid>
      <w:tr w:rsidR="00F848D8" w:rsidRPr="004435E1" w14:paraId="20A1A5DC" w14:textId="77777777" w:rsidTr="001C181D">
        <w:trPr>
          <w:cantSplit/>
          <w:tblHeader/>
        </w:trPr>
        <w:tc>
          <w:tcPr>
            <w:tcW w:w="1555" w:type="dxa"/>
          </w:tcPr>
          <w:p w14:paraId="575786BD" w14:textId="77777777" w:rsidR="004E7CA6" w:rsidRPr="004435E1" w:rsidRDefault="004E7CA6" w:rsidP="00D95724">
            <w:pPr>
              <w:rPr>
                <w:rFonts w:ascii="Malgun Gothic" w:eastAsia="Malgun Gothic" w:hAnsi="Malgun Gothic" w:cs="Calibri"/>
                <w:b/>
                <w:sz w:val="20"/>
                <w:szCs w:val="20"/>
              </w:rPr>
            </w:pPr>
            <w:r w:rsidRPr="004435E1">
              <w:rPr>
                <w:rFonts w:ascii="Malgun Gothic" w:eastAsia="Malgun Gothic" w:hAnsi="Malgun Gothic" w:hint="eastAsia"/>
                <w:b/>
                <w:sz w:val="20"/>
                <w:szCs w:val="20"/>
              </w:rPr>
              <w:t xml:space="preserve">국가 </w:t>
            </w:r>
          </w:p>
        </w:tc>
        <w:tc>
          <w:tcPr>
            <w:tcW w:w="4677" w:type="dxa"/>
          </w:tcPr>
          <w:p w14:paraId="53D8D76D" w14:textId="06BC5CCF" w:rsidR="004E7CA6" w:rsidRPr="004435E1" w:rsidRDefault="004E7CA6" w:rsidP="00D95724">
            <w:pPr>
              <w:rPr>
                <w:rFonts w:ascii="Malgun Gothic" w:eastAsia="Malgun Gothic" w:hAnsi="Malgun Gothic" w:cs="Calibri"/>
                <w:b/>
                <w:sz w:val="20"/>
                <w:szCs w:val="20"/>
              </w:rPr>
            </w:pPr>
            <w:r w:rsidRPr="004435E1">
              <w:rPr>
                <w:rFonts w:ascii="Malgun Gothic" w:eastAsia="Malgun Gothic" w:hAnsi="Malgun Gothic" w:hint="eastAsia"/>
                <w:b/>
                <w:sz w:val="20"/>
                <w:szCs w:val="20"/>
              </w:rPr>
              <w:t>형식 승인</w:t>
            </w:r>
          </w:p>
        </w:tc>
        <w:tc>
          <w:tcPr>
            <w:tcW w:w="2784" w:type="dxa"/>
          </w:tcPr>
          <w:p w14:paraId="40CD5779" w14:textId="77777777" w:rsidR="004E7CA6" w:rsidRPr="004435E1" w:rsidRDefault="004E7CA6" w:rsidP="00D95724">
            <w:pPr>
              <w:rPr>
                <w:rFonts w:ascii="Malgun Gothic" w:eastAsia="Malgun Gothic" w:hAnsi="Malgun Gothic" w:cs="Calibri"/>
                <w:b/>
                <w:sz w:val="20"/>
                <w:szCs w:val="20"/>
              </w:rPr>
            </w:pPr>
            <w:r w:rsidRPr="004435E1">
              <w:rPr>
                <w:rFonts w:ascii="Malgun Gothic" w:eastAsia="Malgun Gothic" w:hAnsi="Malgun Gothic" w:hint="eastAsia"/>
                <w:b/>
                <w:sz w:val="20"/>
                <w:szCs w:val="20"/>
              </w:rPr>
              <w:t>규제 표기 사항/로고</w:t>
            </w:r>
          </w:p>
        </w:tc>
      </w:tr>
      <w:tr w:rsidR="00F848D8" w:rsidRPr="004435E1" w14:paraId="3800019F" w14:textId="77777777" w:rsidTr="001C181D">
        <w:tc>
          <w:tcPr>
            <w:tcW w:w="1555" w:type="dxa"/>
          </w:tcPr>
          <w:p w14:paraId="7464A7C9" w14:textId="77777777" w:rsidR="004E7CA6" w:rsidRPr="004435E1" w:rsidRDefault="004E7CA6" w:rsidP="00D95724">
            <w:pPr>
              <w:rPr>
                <w:rFonts w:ascii="Malgun Gothic" w:eastAsia="Malgun Gothic" w:hAnsi="Malgun Gothic" w:cs="Calibri"/>
                <w:sz w:val="20"/>
                <w:szCs w:val="20"/>
              </w:rPr>
            </w:pPr>
            <w:r w:rsidRPr="004435E1">
              <w:rPr>
                <w:rFonts w:ascii="Malgun Gothic" w:eastAsia="Malgun Gothic" w:hAnsi="Malgun Gothic" w:hint="eastAsia"/>
                <w:sz w:val="20"/>
                <w:szCs w:val="20"/>
              </w:rPr>
              <w:t>호주 및 뉴질랜드</w:t>
            </w:r>
          </w:p>
        </w:tc>
        <w:tc>
          <w:tcPr>
            <w:tcW w:w="4677" w:type="dxa"/>
          </w:tcPr>
          <w:p w14:paraId="5485B311" w14:textId="209411B3" w:rsidR="004E7CA6" w:rsidRPr="004435E1" w:rsidRDefault="00F848D8" w:rsidP="00D95724">
            <w:pPr>
              <w:rPr>
                <w:rFonts w:ascii="Malgun Gothic" w:eastAsia="Malgun Gothic" w:hAnsi="Malgun Gothic" w:cs="Calibri"/>
                <w:sz w:val="20"/>
                <w:szCs w:val="20"/>
              </w:rPr>
            </w:pPr>
            <w:r w:rsidRPr="004435E1">
              <w:rPr>
                <w:rFonts w:ascii="Malgun Gothic" w:eastAsia="Malgun Gothic" w:hAnsi="Malgun Gothic" w:hint="eastAsia"/>
                <w:sz w:val="20"/>
                <w:szCs w:val="20"/>
              </w:rPr>
              <w:t>ACMA/RSM</w:t>
            </w:r>
          </w:p>
        </w:tc>
        <w:tc>
          <w:tcPr>
            <w:tcW w:w="2784" w:type="dxa"/>
          </w:tcPr>
          <w:p w14:paraId="2833867E" w14:textId="77777777" w:rsidR="004E7CA6" w:rsidRPr="004435E1" w:rsidRDefault="004E7CA6" w:rsidP="00D95724">
            <w:pPr>
              <w:rPr>
                <w:rFonts w:ascii="Malgun Gothic" w:eastAsia="Malgun Gothic" w:hAnsi="Malgun Gothic" w:cs="Calibri"/>
                <w:sz w:val="20"/>
                <w:szCs w:val="20"/>
              </w:rPr>
            </w:pPr>
          </w:p>
          <w:p w14:paraId="5BBB5827" w14:textId="77777777" w:rsidR="004E7CA6" w:rsidRPr="004435E1" w:rsidRDefault="004E7CA6" w:rsidP="00D95724">
            <w:pPr>
              <w:rPr>
                <w:rFonts w:ascii="Malgun Gothic" w:eastAsia="Malgun Gothic" w:hAnsi="Malgun Gothic" w:cs="Calibri"/>
                <w:sz w:val="20"/>
                <w:szCs w:val="20"/>
              </w:rPr>
            </w:pPr>
            <w:r w:rsidRPr="004435E1">
              <w:rPr>
                <w:rFonts w:ascii="Malgun Gothic" w:eastAsia="Malgun Gothic" w:hAnsi="Malgun Gothic" w:hint="eastAsia"/>
                <w:noProof/>
                <w:sz w:val="20"/>
                <w:szCs w:val="20"/>
              </w:rPr>
              <w:drawing>
                <wp:inline distT="0" distB="0" distL="0" distR="0" wp14:anchorId="540CF208" wp14:editId="0303BFE0">
                  <wp:extent cx="952500" cy="543702"/>
                  <wp:effectExtent l="0" t="0" r="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9359" cy="570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D31BBD7" w14:textId="77777777" w:rsidR="004E7CA6" w:rsidRPr="004435E1" w:rsidRDefault="004E7CA6" w:rsidP="00D95724">
            <w:pPr>
              <w:rPr>
                <w:rFonts w:ascii="Malgun Gothic" w:eastAsia="Malgun Gothic" w:hAnsi="Malgun Gothic" w:cs="Calibri"/>
                <w:sz w:val="20"/>
                <w:szCs w:val="20"/>
              </w:rPr>
            </w:pPr>
          </w:p>
        </w:tc>
      </w:tr>
      <w:tr w:rsidR="00F848D8" w:rsidRPr="004435E1" w14:paraId="34AFBAFC" w14:textId="77777777" w:rsidTr="001C181D">
        <w:tc>
          <w:tcPr>
            <w:tcW w:w="1555" w:type="dxa"/>
          </w:tcPr>
          <w:p w14:paraId="734AF46B" w14:textId="77777777" w:rsidR="004E7CA6" w:rsidRPr="004435E1" w:rsidRDefault="004E7CA6" w:rsidP="00D95724">
            <w:pPr>
              <w:rPr>
                <w:rFonts w:ascii="Malgun Gothic" w:eastAsia="Malgun Gothic" w:hAnsi="Malgun Gothic" w:cs="Calibri"/>
                <w:sz w:val="20"/>
                <w:szCs w:val="20"/>
              </w:rPr>
            </w:pPr>
            <w:r w:rsidRPr="004435E1">
              <w:rPr>
                <w:rFonts w:ascii="Malgun Gothic" w:eastAsia="Malgun Gothic" w:hAnsi="Malgun Gothic" w:hint="eastAsia"/>
                <w:sz w:val="20"/>
                <w:szCs w:val="20"/>
              </w:rPr>
              <w:lastRenderedPageBreak/>
              <w:t>캐나다</w:t>
            </w:r>
          </w:p>
        </w:tc>
        <w:tc>
          <w:tcPr>
            <w:tcW w:w="4677" w:type="dxa"/>
          </w:tcPr>
          <w:p w14:paraId="21195D60" w14:textId="77777777" w:rsidR="004435E1" w:rsidRDefault="00F848D8" w:rsidP="00F848D8">
            <w:pPr>
              <w:rPr>
                <w:rFonts w:ascii="Malgun Gothic" w:eastAsia="Malgun Gothic" w:hAnsi="Malgun Gothic"/>
                <w:sz w:val="20"/>
                <w:szCs w:val="20"/>
              </w:rPr>
            </w:pPr>
            <w:r w:rsidRPr="004435E1">
              <w:rPr>
                <w:rFonts w:ascii="Malgun Gothic" w:eastAsia="Malgun Gothic" w:hAnsi="Malgun Gothic" w:hint="eastAsia"/>
                <w:sz w:val="20"/>
                <w:szCs w:val="20"/>
              </w:rPr>
              <w:t xml:space="preserve">IC 적합 선언 문구. 이 기기는 산업용 캐나다 라이선스 면제 RSS 표준을 준수합니다. 제품이 다음과 같은 두 가지 조건을 준수해야 합니다. 1. 이 기기는 유해한 간섭을 유발하지 않습니다.  2. 이 기기는 부적당한 작동을 유발할 수 있는 간섭을 포함해 수신되는 모든 간섭을 수용해야 합니다. CAN ICES-3(B)/NMB-3(B). </w:t>
            </w:r>
          </w:p>
          <w:p w14:paraId="2C0F224E" w14:textId="53D15792" w:rsidR="004E7CA6" w:rsidRPr="004435E1" w:rsidRDefault="00F848D8" w:rsidP="00F848D8">
            <w:pPr>
              <w:rPr>
                <w:rFonts w:ascii="Malgun Gothic" w:eastAsia="Malgun Gothic" w:hAnsi="Malgun Gothic" w:cs="Calibri"/>
                <w:sz w:val="20"/>
                <w:szCs w:val="20"/>
              </w:rPr>
            </w:pPr>
            <w:r w:rsidRPr="004435E1">
              <w:rPr>
                <w:rFonts w:ascii="Malgun Gothic" w:eastAsia="Malgun Gothic" w:hAnsi="Malgun Gothic" w:hint="eastAsia"/>
                <w:sz w:val="20"/>
                <w:szCs w:val="20"/>
              </w:rPr>
              <w:t>IC 전자파 노출. 이 기기는 비관리 환경에 대해 규정된 캐나다 방사선 노출 한도를 준수합니다. 이 송신기는 다른 안테나 또는 송신기와 함께 사용하면 안 됩니다.</w:t>
            </w:r>
          </w:p>
        </w:tc>
        <w:tc>
          <w:tcPr>
            <w:tcW w:w="2784" w:type="dxa"/>
          </w:tcPr>
          <w:p w14:paraId="580F75E6" w14:textId="5E293C1F" w:rsidR="00F848D8" w:rsidRPr="004435E1" w:rsidRDefault="00F848D8" w:rsidP="00F848D8">
            <w:pPr>
              <w:rPr>
                <w:rFonts w:ascii="Malgun Gothic" w:eastAsia="Malgun Gothic" w:hAnsi="Malgun Gothic" w:cs="Calibri"/>
                <w:sz w:val="20"/>
                <w:szCs w:val="20"/>
              </w:rPr>
            </w:pPr>
            <w:r w:rsidRPr="004435E1">
              <w:rPr>
                <w:rFonts w:ascii="Malgun Gothic" w:eastAsia="Malgun Gothic" w:hAnsi="Malgun Gothic" w:hint="eastAsia"/>
                <w:sz w:val="20"/>
                <w:szCs w:val="20"/>
              </w:rPr>
              <w:t>IC: 22241-MFP0000029</w:t>
            </w:r>
          </w:p>
          <w:p w14:paraId="5BA3C454" w14:textId="77777777" w:rsidR="004E7CA6" w:rsidRPr="004435E1" w:rsidRDefault="004E7CA6" w:rsidP="00D95724">
            <w:pPr>
              <w:rPr>
                <w:rFonts w:ascii="Malgun Gothic" w:eastAsia="Malgun Gothic" w:hAnsi="Malgun Gothic" w:cs="Calibri"/>
                <w:sz w:val="20"/>
                <w:szCs w:val="20"/>
              </w:rPr>
            </w:pPr>
          </w:p>
        </w:tc>
      </w:tr>
      <w:tr w:rsidR="00F848D8" w:rsidRPr="004435E1" w14:paraId="15EBD4B0" w14:textId="77777777" w:rsidTr="001C181D">
        <w:tc>
          <w:tcPr>
            <w:tcW w:w="1555" w:type="dxa"/>
          </w:tcPr>
          <w:p w14:paraId="2045B3C8" w14:textId="77777777" w:rsidR="004E7CA6" w:rsidRPr="004435E1" w:rsidRDefault="004E7CA6" w:rsidP="00D95724">
            <w:pPr>
              <w:rPr>
                <w:rFonts w:ascii="Malgun Gothic" w:eastAsia="Malgun Gothic" w:hAnsi="Malgun Gothic" w:cs="Calibri"/>
                <w:sz w:val="20"/>
                <w:szCs w:val="20"/>
              </w:rPr>
            </w:pPr>
            <w:r w:rsidRPr="004435E1">
              <w:rPr>
                <w:rFonts w:ascii="Malgun Gothic" w:eastAsia="Malgun Gothic" w:hAnsi="Malgun Gothic" w:hint="eastAsia"/>
                <w:sz w:val="20"/>
                <w:szCs w:val="20"/>
              </w:rPr>
              <w:t>유럽 연합</w:t>
            </w:r>
          </w:p>
        </w:tc>
        <w:tc>
          <w:tcPr>
            <w:tcW w:w="4677" w:type="dxa"/>
          </w:tcPr>
          <w:p w14:paraId="2D0EBCA6" w14:textId="2417BA1A" w:rsidR="004E7CA6" w:rsidRPr="004435E1" w:rsidRDefault="00171CFF" w:rsidP="00D95724">
            <w:pPr>
              <w:rPr>
                <w:rFonts w:ascii="Malgun Gothic" w:eastAsia="Malgun Gothic" w:hAnsi="Malgun Gothic" w:cs="Calibri"/>
                <w:sz w:val="20"/>
                <w:szCs w:val="20"/>
              </w:rPr>
            </w:pPr>
            <w:r w:rsidRPr="004435E1">
              <w:rPr>
                <w:rFonts w:ascii="Malgun Gothic" w:eastAsia="Malgun Gothic" w:hAnsi="Malgun Gothic" w:hint="eastAsia"/>
                <w:sz w:val="20"/>
                <w:szCs w:val="20"/>
              </w:rPr>
              <w:t>이 무선 기기는 EU 지침 2014/53/EU(무선 장비 지침), 2014/30/EU(전자기 적합성 지침), 2014/35/EU(저전압 지침)의 요건을 준수합니다.</w:t>
            </w:r>
          </w:p>
        </w:tc>
        <w:tc>
          <w:tcPr>
            <w:tcW w:w="2784" w:type="dxa"/>
          </w:tcPr>
          <w:p w14:paraId="2968009A" w14:textId="77777777" w:rsidR="004E7CA6" w:rsidRPr="004435E1" w:rsidRDefault="004E7CA6" w:rsidP="00D95724">
            <w:pPr>
              <w:rPr>
                <w:rFonts w:ascii="Malgun Gothic" w:eastAsia="Malgun Gothic" w:hAnsi="Malgun Gothic" w:cs="Calibri"/>
                <w:sz w:val="20"/>
                <w:szCs w:val="20"/>
              </w:rPr>
            </w:pPr>
            <w:r w:rsidRPr="004435E1">
              <w:rPr>
                <w:rFonts w:ascii="Malgun Gothic" w:eastAsia="Malgun Gothic" w:hAnsi="Malgun Gothic" w:hint="eastAsia"/>
                <w:noProof/>
                <w:sz w:val="20"/>
                <w:szCs w:val="20"/>
              </w:rPr>
              <w:drawing>
                <wp:inline distT="0" distB="0" distL="0" distR="0" wp14:anchorId="032C0FD7" wp14:editId="737FC12F">
                  <wp:extent cx="904875" cy="507042"/>
                  <wp:effectExtent l="0" t="0" r="0" b="762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5011" cy="5127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435E1">
              <w:rPr>
                <w:rFonts w:ascii="Malgun Gothic" w:eastAsia="Malgun Gothic" w:hAnsi="Malgun Gothic" w:hint="eastAsia"/>
                <w:sz w:val="20"/>
                <w:szCs w:val="20"/>
              </w:rPr>
              <w:t xml:space="preserve"> </w:t>
            </w:r>
            <w:r w:rsidRPr="004435E1">
              <w:rPr>
                <w:rFonts w:ascii="Malgun Gothic" w:eastAsia="Malgun Gothic" w:hAnsi="Malgun Gothic" w:hint="eastAsia"/>
                <w:noProof/>
              </w:rPr>
              <w:drawing>
                <wp:inline distT="0" distB="0" distL="0" distR="0" wp14:anchorId="5D17F3BF" wp14:editId="7AEED786">
                  <wp:extent cx="666750" cy="773931"/>
                  <wp:effectExtent l="0" t="0" r="0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918" cy="7926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7CA6" w:rsidRPr="004435E1" w14:paraId="129D4986" w14:textId="77777777" w:rsidTr="001C181D">
        <w:tc>
          <w:tcPr>
            <w:tcW w:w="1555" w:type="dxa"/>
          </w:tcPr>
          <w:p w14:paraId="5A43348E" w14:textId="77777777" w:rsidR="004E7CA6" w:rsidRPr="004435E1" w:rsidRDefault="004E7CA6" w:rsidP="00D95724">
            <w:pPr>
              <w:rPr>
                <w:rFonts w:ascii="Malgun Gothic" w:eastAsia="Malgun Gothic" w:hAnsi="Malgun Gothic" w:cs="Calibri"/>
                <w:sz w:val="20"/>
                <w:szCs w:val="20"/>
              </w:rPr>
            </w:pPr>
            <w:r w:rsidRPr="004435E1">
              <w:rPr>
                <w:rFonts w:ascii="Malgun Gothic" w:eastAsia="Malgun Gothic" w:hAnsi="Malgun Gothic" w:hint="eastAsia"/>
                <w:sz w:val="20"/>
                <w:szCs w:val="20"/>
              </w:rPr>
              <w:t>일본</w:t>
            </w:r>
          </w:p>
        </w:tc>
        <w:tc>
          <w:tcPr>
            <w:tcW w:w="4677" w:type="dxa"/>
          </w:tcPr>
          <w:p w14:paraId="5F442438" w14:textId="4B104858" w:rsidR="004E7CA6" w:rsidRPr="004435E1" w:rsidRDefault="004E7CA6" w:rsidP="00D95724">
            <w:pPr>
              <w:rPr>
                <w:rFonts w:ascii="Malgun Gothic" w:eastAsia="Malgun Gothic" w:hAnsi="Malgun Gothic" w:cs="Calibri"/>
                <w:sz w:val="20"/>
                <w:szCs w:val="20"/>
              </w:rPr>
            </w:pPr>
            <w:r w:rsidRPr="004435E1">
              <w:rPr>
                <w:rFonts w:ascii="Malgun Gothic" w:eastAsia="Malgun Gothic" w:hAnsi="Malgun Gothic" w:hint="eastAsia"/>
                <w:sz w:val="20"/>
                <w:szCs w:val="20"/>
              </w:rPr>
              <w:t xml:space="preserve">무선 기기 인증  </w:t>
            </w:r>
          </w:p>
        </w:tc>
        <w:tc>
          <w:tcPr>
            <w:tcW w:w="2784" w:type="dxa"/>
          </w:tcPr>
          <w:p w14:paraId="542E631E" w14:textId="0A4B2F4A" w:rsidR="004E7CA6" w:rsidRPr="004435E1" w:rsidRDefault="004E7CA6" w:rsidP="00D95724">
            <w:pPr>
              <w:rPr>
                <w:rFonts w:ascii="Malgun Gothic" w:eastAsia="Malgun Gothic" w:hAnsi="Malgun Gothic" w:cs="Calibri"/>
                <w:noProof/>
                <w:sz w:val="20"/>
                <w:szCs w:val="20"/>
              </w:rPr>
            </w:pPr>
            <w:r w:rsidRPr="004435E1">
              <w:rPr>
                <w:rFonts w:ascii="Malgun Gothic" w:eastAsia="Malgun Gothic" w:hAnsi="Malgun Gothic" w:hint="eastAsia"/>
                <w:noProof/>
                <w:sz w:val="20"/>
                <w:szCs w:val="20"/>
              </w:rPr>
              <w:drawing>
                <wp:inline distT="0" distB="0" distL="0" distR="0" wp14:anchorId="37CF3A86" wp14:editId="2404F07C">
                  <wp:extent cx="551227" cy="361950"/>
                  <wp:effectExtent l="0" t="0" r="127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179" cy="368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435E1">
              <w:rPr>
                <w:rFonts w:ascii="Malgun Gothic" w:eastAsia="Malgun Gothic" w:hAnsi="Malgun Gothic" w:hint="eastAsia"/>
                <w:sz w:val="20"/>
                <w:szCs w:val="20"/>
              </w:rPr>
              <w:t xml:space="preserve"> 020-190093</w:t>
            </w:r>
          </w:p>
        </w:tc>
      </w:tr>
      <w:tr w:rsidR="004E7CA6" w:rsidRPr="004435E1" w14:paraId="318846B2" w14:textId="77777777" w:rsidTr="001C181D">
        <w:tc>
          <w:tcPr>
            <w:tcW w:w="1555" w:type="dxa"/>
          </w:tcPr>
          <w:p w14:paraId="5BE5105F" w14:textId="6F187919" w:rsidR="004E7CA6" w:rsidRPr="004435E1" w:rsidRDefault="004E7CA6" w:rsidP="00D95724">
            <w:pPr>
              <w:rPr>
                <w:rFonts w:ascii="Malgun Gothic" w:eastAsia="Malgun Gothic" w:hAnsi="Malgun Gothic" w:cs="Calibri"/>
                <w:sz w:val="20"/>
                <w:szCs w:val="20"/>
              </w:rPr>
            </w:pPr>
            <w:r w:rsidRPr="004435E1">
              <w:rPr>
                <w:rFonts w:ascii="Malgun Gothic" w:eastAsia="Malgun Gothic" w:hAnsi="Malgun Gothic" w:hint="eastAsia"/>
                <w:sz w:val="20"/>
                <w:szCs w:val="20"/>
              </w:rPr>
              <w:t>미국</w:t>
            </w:r>
          </w:p>
        </w:tc>
        <w:tc>
          <w:tcPr>
            <w:tcW w:w="4677" w:type="dxa"/>
          </w:tcPr>
          <w:p w14:paraId="6D9E0320" w14:textId="77777777" w:rsidR="00A66E0A" w:rsidRPr="004435E1" w:rsidRDefault="00F848D8" w:rsidP="00D95724">
            <w:pPr>
              <w:rPr>
                <w:rFonts w:ascii="Malgun Gothic" w:eastAsia="Malgun Gothic" w:hAnsi="Malgun Gothic" w:cs="Calibri"/>
                <w:sz w:val="20"/>
                <w:szCs w:val="20"/>
              </w:rPr>
            </w:pPr>
            <w:r w:rsidRPr="004435E1">
              <w:rPr>
                <w:rFonts w:ascii="Malgun Gothic" w:eastAsia="Malgun Gothic" w:hAnsi="Malgun Gothic" w:hint="eastAsia"/>
                <w:sz w:val="20"/>
                <w:szCs w:val="20"/>
              </w:rPr>
              <w:t xml:space="preserve">FCC 적합성 선언 문구. 이 기기는 FCC 규칙 제15부를 준수합니다. 제품이 다음과 같은 두 가지 조건을 준수해야 합니다. </w:t>
            </w:r>
          </w:p>
          <w:p w14:paraId="3305134A" w14:textId="77777777" w:rsidR="004435E1" w:rsidRDefault="00F848D8" w:rsidP="00D95724">
            <w:pPr>
              <w:rPr>
                <w:rFonts w:ascii="Malgun Gothic" w:eastAsia="Malgun Gothic" w:hAnsi="Malgun Gothic"/>
                <w:sz w:val="20"/>
                <w:szCs w:val="20"/>
              </w:rPr>
            </w:pPr>
            <w:r w:rsidRPr="004435E1">
              <w:rPr>
                <w:rFonts w:ascii="Malgun Gothic" w:eastAsia="Malgun Gothic" w:hAnsi="Malgun Gothic" w:hint="eastAsia"/>
                <w:sz w:val="20"/>
                <w:szCs w:val="20"/>
              </w:rPr>
              <w:t>1. 이 기기는 유해한 간섭을 유발하지 않습니다.  2. 이 기기는 부적당한 작동을 유발할 수 있는 간섭을 포함해 수신되는 모든 간섭을 수용해야 합니다. 참고: 이 기기는 시험을 거쳤고 FCC 규칙 제15부에 따라 등급 B 디지털 기기에 대한 한도를 충족시키는 것으로 확인되었습니다. 이러한 한도는 주거 환경에서 유해한 간섭에 대한 충분한 보호를 제공하도록 설계되었습니다.</w:t>
            </w:r>
            <w:r w:rsidR="004435E1">
              <w:rPr>
                <w:rFonts w:ascii="Malgun Gothic" w:eastAsia="Malgun Gothic" w:hAnsi="Malgun Gothic"/>
                <w:sz w:val="20"/>
                <w:szCs w:val="20"/>
              </w:rPr>
              <w:t xml:space="preserve"> </w:t>
            </w:r>
          </w:p>
          <w:p w14:paraId="3EE49FEC" w14:textId="18863AD6" w:rsidR="00A66E0A" w:rsidRPr="004435E1" w:rsidRDefault="00F848D8" w:rsidP="00D95724">
            <w:pPr>
              <w:rPr>
                <w:rFonts w:ascii="Malgun Gothic" w:eastAsia="Malgun Gothic" w:hAnsi="Malgun Gothic" w:cs="Calibri"/>
                <w:sz w:val="20"/>
                <w:szCs w:val="20"/>
              </w:rPr>
            </w:pPr>
            <w:r w:rsidRPr="004435E1">
              <w:rPr>
                <w:rFonts w:ascii="Malgun Gothic" w:eastAsia="Malgun Gothic" w:hAnsi="Malgun Gothic" w:hint="eastAsia"/>
                <w:sz w:val="20"/>
                <w:szCs w:val="20"/>
              </w:rPr>
              <w:t>이 기기는 무선 주파수 에너지를 생성하고 사용하고 방출할 수 있으며, 사용 설명서에 따라 설치하고 사용하지 않으면 무선 통신에 대해 유해한 간섭이 발생할 수 있습니다. 하지만 특정한 설비에서 간섭이 발생하지 않을 것이라는 보증은 없습니다. 기기를 껐다 켜서 이 기기가 라디오 또는 텔레비전 수신에 대해 유해한 간섭을 일으키는 것을 확인한다면, 사용자는 다음과 같은 하나 또는 여러 가지 조치를 취해서 그러한 간섭을 교정하도록 시도해야 합니다.</w:t>
            </w:r>
          </w:p>
          <w:p w14:paraId="0ADEB2D6" w14:textId="0A4F6762" w:rsidR="00A66E0A" w:rsidRPr="004435E1" w:rsidRDefault="00A66E0A" w:rsidP="00A66E0A">
            <w:pPr>
              <w:pStyle w:val="ListParagraph"/>
              <w:numPr>
                <w:ilvl w:val="0"/>
                <w:numId w:val="1"/>
              </w:numPr>
              <w:rPr>
                <w:rFonts w:ascii="Malgun Gothic" w:eastAsia="Malgun Gothic" w:hAnsi="Malgun Gothic" w:cs="Calibri"/>
                <w:sz w:val="20"/>
                <w:szCs w:val="20"/>
              </w:rPr>
            </w:pPr>
            <w:r w:rsidRPr="004435E1">
              <w:rPr>
                <w:rFonts w:ascii="Malgun Gothic" w:eastAsia="Malgun Gothic" w:hAnsi="Malgun Gothic" w:hint="eastAsia"/>
                <w:sz w:val="20"/>
                <w:szCs w:val="20"/>
              </w:rPr>
              <w:lastRenderedPageBreak/>
              <w:t>수신 안테나의 방향이나 위치를 이동합니다.</w:t>
            </w:r>
          </w:p>
          <w:p w14:paraId="233DD413" w14:textId="624EDD66" w:rsidR="00A66E0A" w:rsidRPr="004435E1" w:rsidRDefault="00A66E0A" w:rsidP="00A66E0A">
            <w:pPr>
              <w:pStyle w:val="ListParagraph"/>
              <w:numPr>
                <w:ilvl w:val="0"/>
                <w:numId w:val="1"/>
              </w:numPr>
              <w:rPr>
                <w:rFonts w:ascii="Malgun Gothic" w:eastAsia="Malgun Gothic" w:hAnsi="Malgun Gothic" w:cs="Calibri"/>
                <w:sz w:val="20"/>
                <w:szCs w:val="20"/>
              </w:rPr>
            </w:pPr>
            <w:r w:rsidRPr="004435E1">
              <w:rPr>
                <w:rFonts w:ascii="Malgun Gothic" w:eastAsia="Malgun Gothic" w:hAnsi="Malgun Gothic" w:hint="eastAsia"/>
                <w:sz w:val="20"/>
                <w:szCs w:val="20"/>
              </w:rPr>
              <w:t>기기와 수신기의 거리를 더 멀리 떨어뜨립니다.</w:t>
            </w:r>
          </w:p>
          <w:p w14:paraId="06908A8B" w14:textId="142856FC" w:rsidR="00A66E0A" w:rsidRPr="004435E1" w:rsidRDefault="00A66E0A" w:rsidP="00A66E0A">
            <w:pPr>
              <w:pStyle w:val="ListParagraph"/>
              <w:numPr>
                <w:ilvl w:val="0"/>
                <w:numId w:val="1"/>
              </w:numPr>
              <w:rPr>
                <w:rFonts w:ascii="Malgun Gothic" w:eastAsia="Malgun Gothic" w:hAnsi="Malgun Gothic" w:cs="Calibri"/>
                <w:sz w:val="20"/>
                <w:szCs w:val="20"/>
              </w:rPr>
            </w:pPr>
            <w:r w:rsidRPr="004435E1">
              <w:rPr>
                <w:rFonts w:ascii="Malgun Gothic" w:eastAsia="Malgun Gothic" w:hAnsi="Malgun Gothic" w:hint="eastAsia"/>
                <w:sz w:val="20"/>
                <w:szCs w:val="20"/>
              </w:rPr>
              <w:t>수신기가 연결된 것과 다른 회로의 콘센트에 기기를 연결합니다.</w:t>
            </w:r>
          </w:p>
          <w:p w14:paraId="6A9DC33D" w14:textId="338AD96A" w:rsidR="00A66E0A" w:rsidRPr="004435E1" w:rsidRDefault="00A66E0A" w:rsidP="00A66E0A">
            <w:pPr>
              <w:pStyle w:val="ListParagraph"/>
              <w:numPr>
                <w:ilvl w:val="0"/>
                <w:numId w:val="1"/>
              </w:numPr>
              <w:rPr>
                <w:rFonts w:ascii="Malgun Gothic" w:eastAsia="Malgun Gothic" w:hAnsi="Malgun Gothic" w:cs="Calibri"/>
                <w:sz w:val="20"/>
                <w:szCs w:val="20"/>
              </w:rPr>
            </w:pPr>
            <w:r w:rsidRPr="004435E1">
              <w:rPr>
                <w:rFonts w:ascii="Malgun Gothic" w:eastAsia="Malgun Gothic" w:hAnsi="Malgun Gothic" w:hint="eastAsia"/>
                <w:sz w:val="20"/>
                <w:szCs w:val="20"/>
              </w:rPr>
              <w:t>숙련된 라디오/TV 기술자와 상의하고 도움을 구합니다.</w:t>
            </w:r>
          </w:p>
          <w:p w14:paraId="70C376F8" w14:textId="72C81342" w:rsidR="00A66E0A" w:rsidRPr="004435E1" w:rsidRDefault="00A66E0A" w:rsidP="00A66E0A">
            <w:pPr>
              <w:rPr>
                <w:rFonts w:ascii="Malgun Gothic" w:eastAsia="Malgun Gothic" w:hAnsi="Malgun Gothic" w:cs="Calibri"/>
                <w:sz w:val="20"/>
                <w:szCs w:val="20"/>
              </w:rPr>
            </w:pPr>
            <w:r w:rsidRPr="004435E1">
              <w:rPr>
                <w:rFonts w:ascii="Malgun Gothic" w:eastAsia="Malgun Gothic" w:hAnsi="Malgun Gothic" w:hint="eastAsia"/>
                <w:sz w:val="20"/>
                <w:szCs w:val="20"/>
              </w:rPr>
              <w:t>적합성 준수를 책임지는 당사자의 명백한 승인을 받지 않고 변경 또는 개조가 이루어지면 이 기기를 사용할 권한이 무효화될 수 있습니다.</w:t>
            </w:r>
          </w:p>
          <w:p w14:paraId="78B07C99" w14:textId="6EC7AE54" w:rsidR="004E7CA6" w:rsidRPr="004435E1" w:rsidRDefault="00F848D8" w:rsidP="00A66E0A">
            <w:pPr>
              <w:rPr>
                <w:rFonts w:ascii="Malgun Gothic" w:eastAsia="Malgun Gothic" w:hAnsi="Malgun Gothic" w:cs="Calibri"/>
                <w:sz w:val="20"/>
                <w:szCs w:val="20"/>
              </w:rPr>
            </w:pPr>
            <w:r w:rsidRPr="004435E1">
              <w:rPr>
                <w:rFonts w:ascii="Malgun Gothic" w:eastAsia="Malgun Gothic" w:hAnsi="Malgun Gothic" w:hint="eastAsia"/>
                <w:sz w:val="20"/>
                <w:szCs w:val="20"/>
              </w:rPr>
              <w:t>FCC 전자파 노출 정보. 이 기기는 비관리 환경에 대해 규정된 FCC 방사선 노출 한도를 준수합니다. 최종 사용자는 RF 노출 적합성을 준수하기 위한 특정한 운용 지침을 준수해야 합니다. 이 송신기는 다른 안테나 또는 송신기와 함께 배치하거나 가까이에 놓고 사용하면 안 됩니다.</w:t>
            </w:r>
          </w:p>
          <w:p w14:paraId="7DB1F4BC" w14:textId="3286CE98" w:rsidR="00F848D8" w:rsidRPr="004435E1" w:rsidRDefault="00F848D8" w:rsidP="00D95724">
            <w:pPr>
              <w:rPr>
                <w:rFonts w:ascii="Malgun Gothic" w:eastAsia="Malgun Gothic" w:hAnsi="Malgun Gothic" w:cs="Calibri"/>
                <w:sz w:val="20"/>
                <w:szCs w:val="20"/>
              </w:rPr>
            </w:pPr>
          </w:p>
        </w:tc>
        <w:tc>
          <w:tcPr>
            <w:tcW w:w="2784" w:type="dxa"/>
          </w:tcPr>
          <w:p w14:paraId="5845AFDA" w14:textId="7D8519B1" w:rsidR="004E7CA6" w:rsidRPr="004435E1" w:rsidRDefault="004E7CA6" w:rsidP="00D95724">
            <w:pPr>
              <w:rPr>
                <w:rFonts w:ascii="Malgun Gothic" w:eastAsia="Malgun Gothic" w:hAnsi="Malgun Gothic"/>
                <w:noProof/>
                <w:sz w:val="20"/>
                <w:szCs w:val="20"/>
              </w:rPr>
            </w:pPr>
          </w:p>
          <w:p w14:paraId="2E2DC18F" w14:textId="1AB4CF94" w:rsidR="00574E5E" w:rsidRPr="004435E1" w:rsidRDefault="002E3B00" w:rsidP="00574E5E">
            <w:pPr>
              <w:rPr>
                <w:rFonts w:ascii="Malgun Gothic" w:eastAsia="Malgun Gothic" w:hAnsi="Malgun Gothic" w:cs="Calibri"/>
                <w:sz w:val="20"/>
                <w:szCs w:val="20"/>
              </w:rPr>
            </w:pPr>
            <w:r w:rsidRPr="004435E1">
              <w:rPr>
                <w:rFonts w:ascii="Malgun Gothic" w:eastAsia="Malgun Gothic" w:hAnsi="Malgun Gothic" w:hint="eastAsia"/>
                <w:noProof/>
              </w:rPr>
              <w:drawing>
                <wp:inline distT="0" distB="0" distL="0" distR="0" wp14:anchorId="258C173E" wp14:editId="5A8C3866">
                  <wp:extent cx="438035" cy="366919"/>
                  <wp:effectExtent l="0" t="0" r="635" b="0"/>
                  <wp:docPr id="6" name="Picture 6" descr="https://transition.fcc.gov/files/logos/fcc-logo_black-on-whi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ransition.fcc.gov/files/logos/fcc-logo_black-on-whi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13" cy="397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06C38A" w14:textId="02E88B1E" w:rsidR="00574E5E" w:rsidRPr="004435E1" w:rsidRDefault="00574E5E" w:rsidP="00574E5E">
            <w:pPr>
              <w:rPr>
                <w:rFonts w:ascii="Malgun Gothic" w:eastAsia="Malgun Gothic" w:hAnsi="Malgun Gothic" w:cs="Calibri"/>
                <w:sz w:val="20"/>
                <w:szCs w:val="20"/>
              </w:rPr>
            </w:pPr>
            <w:r w:rsidRPr="004435E1">
              <w:rPr>
                <w:rFonts w:ascii="Malgun Gothic" w:eastAsia="Malgun Gothic" w:hAnsi="Malgun Gothic" w:hint="eastAsia"/>
                <w:sz w:val="20"/>
                <w:szCs w:val="20"/>
              </w:rPr>
              <w:t>FCC ID: 2AKMG00000NU410</w:t>
            </w:r>
          </w:p>
        </w:tc>
      </w:tr>
      <w:tr w:rsidR="00847947" w:rsidRPr="004435E1" w14:paraId="6B7C7459" w14:textId="77777777" w:rsidTr="001C181D">
        <w:tc>
          <w:tcPr>
            <w:tcW w:w="1555" w:type="dxa"/>
          </w:tcPr>
          <w:p w14:paraId="550A4DFA" w14:textId="5E1A528B" w:rsidR="00847947" w:rsidRPr="004435E1" w:rsidRDefault="00847947" w:rsidP="00D95724">
            <w:pPr>
              <w:rPr>
                <w:rFonts w:ascii="Malgun Gothic" w:eastAsia="Malgun Gothic" w:hAnsi="Malgun Gothic" w:cs="Calibri"/>
                <w:sz w:val="20"/>
                <w:szCs w:val="20"/>
              </w:rPr>
            </w:pPr>
            <w:r w:rsidRPr="004435E1">
              <w:rPr>
                <w:rFonts w:ascii="Malgun Gothic" w:eastAsia="Malgun Gothic" w:hAnsi="Malgun Gothic" w:hint="eastAsia"/>
                <w:sz w:val="20"/>
                <w:szCs w:val="20"/>
              </w:rPr>
              <w:t>방사선 노출 적합성 선언 문구</w:t>
            </w:r>
          </w:p>
        </w:tc>
        <w:tc>
          <w:tcPr>
            <w:tcW w:w="4677" w:type="dxa"/>
          </w:tcPr>
          <w:p w14:paraId="075E4E9C" w14:textId="42849619" w:rsidR="001C181D" w:rsidRPr="004435E1" w:rsidRDefault="001C181D" w:rsidP="00D95724">
            <w:pPr>
              <w:rPr>
                <w:rFonts w:ascii="Malgun Gothic" w:eastAsia="Malgun Gothic" w:hAnsi="Malgun Gothic" w:cs="Calibri"/>
                <w:sz w:val="20"/>
                <w:szCs w:val="20"/>
              </w:rPr>
            </w:pPr>
            <w:r w:rsidRPr="004435E1">
              <w:rPr>
                <w:rFonts w:ascii="Malgun Gothic" w:eastAsia="Malgun Gothic" w:hAnsi="Malgun Gothic" w:hint="eastAsia"/>
                <w:sz w:val="20"/>
                <w:szCs w:val="20"/>
              </w:rPr>
              <w:t>이 기기는 비관리 환경에 대해 규정된 FCC/ISED 방사선 노출 한도를 준수합니다. 이 기기는 방사체와 인체 사이에 20cm 이상 거리를 두고 설치하고 사용해야 합니다.</w:t>
            </w:r>
            <w:r w:rsidRPr="004435E1">
              <w:rPr>
                <w:rFonts w:ascii="Malgun Gothic" w:eastAsia="Malgun Gothic" w:hAnsi="Malgun Gothic" w:hint="eastAsia"/>
              </w:rPr>
              <w:br/>
            </w:r>
          </w:p>
        </w:tc>
        <w:tc>
          <w:tcPr>
            <w:tcW w:w="2784" w:type="dxa"/>
          </w:tcPr>
          <w:p w14:paraId="47FA6188" w14:textId="77777777" w:rsidR="00847947" w:rsidRPr="004435E1" w:rsidRDefault="00847947" w:rsidP="00D95724">
            <w:pPr>
              <w:rPr>
                <w:rFonts w:ascii="Malgun Gothic" w:eastAsia="Malgun Gothic" w:hAnsi="Malgun Gothic" w:cs="Calibri"/>
                <w:noProof/>
                <w:sz w:val="20"/>
                <w:szCs w:val="20"/>
              </w:rPr>
            </w:pPr>
          </w:p>
        </w:tc>
      </w:tr>
    </w:tbl>
    <w:p w14:paraId="745AA449" w14:textId="77777777" w:rsidR="004E7CA6" w:rsidRPr="004435E1" w:rsidRDefault="004E7CA6">
      <w:pPr>
        <w:rPr>
          <w:rFonts w:ascii="Malgun Gothic" w:eastAsia="Malgun Gothic" w:hAnsi="Malgun Gothic" w:cs="Calibri"/>
        </w:rPr>
      </w:pPr>
    </w:p>
    <w:p w14:paraId="06988D82" w14:textId="1693E39D" w:rsidR="003478C3" w:rsidRPr="004435E1" w:rsidRDefault="004440FF">
      <w:pPr>
        <w:rPr>
          <w:rFonts w:ascii="Malgun Gothic" w:eastAsia="Malgun Gothic" w:hAnsi="Malgun Gothic" w:cs="Calibri"/>
        </w:rPr>
      </w:pPr>
      <w:proofErr w:type="spellStart"/>
      <w:r w:rsidRPr="004435E1">
        <w:rPr>
          <w:rFonts w:ascii="Malgun Gothic" w:eastAsia="Malgun Gothic" w:hAnsi="Malgun Gothic" w:hint="eastAsia"/>
        </w:rPr>
        <w:t>IQstream</w:t>
      </w:r>
      <w:proofErr w:type="spellEnd"/>
      <w:r w:rsidRPr="004435E1">
        <w:rPr>
          <w:rFonts w:ascii="Malgun Gothic" w:eastAsia="Malgun Gothic" w:hAnsi="Malgun Gothic" w:hint="eastAsia"/>
        </w:rPr>
        <w:t xml:space="preserve"> TV는 다음과 같이 말레이시아에서 제조됩니다.</w:t>
      </w:r>
    </w:p>
    <w:p w14:paraId="549B2EFE" w14:textId="7D572012" w:rsidR="00D74064" w:rsidRPr="004435E1" w:rsidRDefault="00D74064" w:rsidP="008C7D1F">
      <w:pPr>
        <w:pStyle w:val="NoSpacing"/>
        <w:rPr>
          <w:rFonts w:ascii="Malgun Gothic" w:eastAsia="Malgun Gothic" w:hAnsi="Malgun Gothic"/>
        </w:rPr>
      </w:pPr>
      <w:proofErr w:type="spellStart"/>
      <w:r w:rsidRPr="004435E1">
        <w:rPr>
          <w:rFonts w:ascii="Malgun Gothic" w:eastAsia="Malgun Gothic" w:hAnsi="Malgun Gothic" w:hint="eastAsia"/>
        </w:rPr>
        <w:t>Salutica</w:t>
      </w:r>
      <w:proofErr w:type="spellEnd"/>
      <w:r w:rsidRPr="004435E1">
        <w:rPr>
          <w:rFonts w:ascii="Malgun Gothic" w:eastAsia="Malgun Gothic" w:hAnsi="Malgun Gothic" w:hint="eastAsia"/>
        </w:rPr>
        <w:t xml:space="preserve"> Allied Solutions</w:t>
      </w:r>
    </w:p>
    <w:p w14:paraId="12764256" w14:textId="59518C0A" w:rsidR="00D74064" w:rsidRPr="004435E1" w:rsidRDefault="00D74064" w:rsidP="008C7D1F">
      <w:pPr>
        <w:pStyle w:val="NoSpacing"/>
        <w:rPr>
          <w:rFonts w:ascii="Malgun Gothic" w:eastAsia="Malgun Gothic" w:hAnsi="Malgun Gothic"/>
        </w:rPr>
      </w:pPr>
      <w:r w:rsidRPr="004435E1">
        <w:rPr>
          <w:rFonts w:ascii="Malgun Gothic" w:eastAsia="Malgun Gothic" w:hAnsi="Malgun Gothic" w:hint="eastAsia"/>
        </w:rPr>
        <w:t xml:space="preserve">No. 3, Jalan </w:t>
      </w:r>
      <w:proofErr w:type="spellStart"/>
      <w:r w:rsidRPr="004435E1">
        <w:rPr>
          <w:rFonts w:ascii="Malgun Gothic" w:eastAsia="Malgun Gothic" w:hAnsi="Malgun Gothic" w:hint="eastAsia"/>
        </w:rPr>
        <w:t>Zarib</w:t>
      </w:r>
      <w:proofErr w:type="spellEnd"/>
      <w:r w:rsidRPr="004435E1">
        <w:rPr>
          <w:rFonts w:ascii="Malgun Gothic" w:eastAsia="Malgun Gothic" w:hAnsi="Malgun Gothic" w:hint="eastAsia"/>
        </w:rPr>
        <w:t xml:space="preserve"> 6</w:t>
      </w:r>
    </w:p>
    <w:p w14:paraId="28765282" w14:textId="1C876B7E" w:rsidR="00D74064" w:rsidRPr="004435E1" w:rsidRDefault="00D74064" w:rsidP="008C7D1F">
      <w:pPr>
        <w:pStyle w:val="NoSpacing"/>
        <w:rPr>
          <w:rFonts w:ascii="Malgun Gothic" w:eastAsia="Malgun Gothic" w:hAnsi="Malgun Gothic"/>
        </w:rPr>
      </w:pPr>
      <w:r w:rsidRPr="004435E1">
        <w:rPr>
          <w:rFonts w:ascii="Malgun Gothic" w:eastAsia="Malgun Gothic" w:hAnsi="Malgun Gothic" w:hint="eastAsia"/>
        </w:rPr>
        <w:t xml:space="preserve">Kawasan Perindustrian </w:t>
      </w:r>
      <w:proofErr w:type="spellStart"/>
      <w:r w:rsidRPr="004435E1">
        <w:rPr>
          <w:rFonts w:ascii="Malgun Gothic" w:eastAsia="Malgun Gothic" w:hAnsi="Malgun Gothic" w:hint="eastAsia"/>
        </w:rPr>
        <w:t>Zarib</w:t>
      </w:r>
      <w:proofErr w:type="spellEnd"/>
    </w:p>
    <w:p w14:paraId="123385DC" w14:textId="52B5C950" w:rsidR="00D74064" w:rsidRPr="004435E1" w:rsidRDefault="004E743B" w:rsidP="008C7D1F">
      <w:pPr>
        <w:pStyle w:val="NoSpacing"/>
        <w:rPr>
          <w:rFonts w:ascii="Malgun Gothic" w:eastAsia="Malgun Gothic" w:hAnsi="Malgun Gothic"/>
        </w:rPr>
      </w:pPr>
      <w:r w:rsidRPr="004435E1">
        <w:rPr>
          <w:rFonts w:ascii="Malgun Gothic" w:eastAsia="Malgun Gothic" w:hAnsi="Malgun Gothic" w:hint="eastAsia"/>
        </w:rPr>
        <w:t xml:space="preserve">31500 Lahat, Ipoh Perak </w:t>
      </w:r>
    </w:p>
    <w:p w14:paraId="6014614B" w14:textId="227A17BF" w:rsidR="00912F01" w:rsidRPr="004435E1" w:rsidRDefault="008C7D1F" w:rsidP="008C7D1F">
      <w:pPr>
        <w:pStyle w:val="NoSpacing"/>
        <w:rPr>
          <w:rFonts w:ascii="Malgun Gothic" w:eastAsia="Malgun Gothic" w:hAnsi="Malgun Gothic"/>
        </w:rPr>
      </w:pPr>
      <w:r w:rsidRPr="004435E1">
        <w:rPr>
          <w:rFonts w:ascii="Malgun Gothic" w:eastAsia="Malgun Gothic" w:hAnsi="Malgun Gothic" w:hint="eastAsia"/>
        </w:rPr>
        <w:t>Malaysia</w:t>
      </w:r>
    </w:p>
    <w:p w14:paraId="40EDBF8C" w14:textId="7BDA2A6F" w:rsidR="00AB1E82" w:rsidRPr="004435E1" w:rsidRDefault="00AB1E82" w:rsidP="008C7D1F">
      <w:pPr>
        <w:pStyle w:val="NoSpacing"/>
        <w:rPr>
          <w:rFonts w:ascii="Malgun Gothic" w:eastAsia="Malgun Gothic" w:hAnsi="Malgun Gothic"/>
        </w:rPr>
      </w:pPr>
    </w:p>
    <w:p w14:paraId="31248B1D" w14:textId="6DDB8AB0" w:rsidR="00AB1E82" w:rsidRPr="004435E1" w:rsidRDefault="00AB1E82" w:rsidP="008C7D1F">
      <w:pPr>
        <w:pStyle w:val="NoSpacing"/>
        <w:rPr>
          <w:rFonts w:ascii="Malgun Gothic" w:eastAsia="Malgun Gothic" w:hAnsi="Malgun Gothic"/>
        </w:rPr>
      </w:pPr>
      <w:r w:rsidRPr="004435E1">
        <w:rPr>
          <w:rFonts w:ascii="Malgun Gothic" w:eastAsia="Malgun Gothic" w:hAnsi="Malgun Gothic" w:hint="eastAsia"/>
        </w:rPr>
        <w:t>DOC1000006 Rev 02</w:t>
      </w:r>
    </w:p>
    <w:sectPr w:rsidR="00AB1E82" w:rsidRPr="004435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C905B4" w14:textId="77777777" w:rsidR="00AE7570" w:rsidRDefault="00AE7570" w:rsidP="004435E1">
      <w:pPr>
        <w:spacing w:after="0" w:line="240" w:lineRule="auto"/>
      </w:pPr>
      <w:r>
        <w:separator/>
      </w:r>
    </w:p>
  </w:endnote>
  <w:endnote w:type="continuationSeparator" w:id="0">
    <w:p w14:paraId="1DF2994D" w14:textId="77777777" w:rsidR="00AE7570" w:rsidRDefault="00AE7570" w:rsidP="00443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B0A176" w14:textId="77777777" w:rsidR="00AE7570" w:rsidRDefault="00AE7570" w:rsidP="004435E1">
      <w:pPr>
        <w:spacing w:after="0" w:line="240" w:lineRule="auto"/>
      </w:pPr>
      <w:r>
        <w:separator/>
      </w:r>
    </w:p>
  </w:footnote>
  <w:footnote w:type="continuationSeparator" w:id="0">
    <w:p w14:paraId="2AF8BC1B" w14:textId="77777777" w:rsidR="00AE7570" w:rsidRDefault="00AE7570" w:rsidP="004435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F5F35"/>
    <w:multiLevelType w:val="hybridMultilevel"/>
    <w:tmpl w:val="A03205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507"/>
    <w:rsid w:val="00121FBE"/>
    <w:rsid w:val="00171CFF"/>
    <w:rsid w:val="001C181D"/>
    <w:rsid w:val="002279C3"/>
    <w:rsid w:val="0026395B"/>
    <w:rsid w:val="002C5026"/>
    <w:rsid w:val="002E3B00"/>
    <w:rsid w:val="003478C3"/>
    <w:rsid w:val="004435E1"/>
    <w:rsid w:val="004440FF"/>
    <w:rsid w:val="00492A92"/>
    <w:rsid w:val="004E743B"/>
    <w:rsid w:val="004E7CA6"/>
    <w:rsid w:val="0057006F"/>
    <w:rsid w:val="00574E5E"/>
    <w:rsid w:val="006D2490"/>
    <w:rsid w:val="00761D82"/>
    <w:rsid w:val="007B67FD"/>
    <w:rsid w:val="00847947"/>
    <w:rsid w:val="008C7D1F"/>
    <w:rsid w:val="00912F01"/>
    <w:rsid w:val="009A6DB3"/>
    <w:rsid w:val="009E2F9F"/>
    <w:rsid w:val="00A66E0A"/>
    <w:rsid w:val="00AB1E82"/>
    <w:rsid w:val="00AD53DF"/>
    <w:rsid w:val="00AE7570"/>
    <w:rsid w:val="00AF25F9"/>
    <w:rsid w:val="00B808DB"/>
    <w:rsid w:val="00BF02C2"/>
    <w:rsid w:val="00C601F9"/>
    <w:rsid w:val="00D013F2"/>
    <w:rsid w:val="00D74064"/>
    <w:rsid w:val="00DC7DAE"/>
    <w:rsid w:val="00DD0643"/>
    <w:rsid w:val="00DE0507"/>
    <w:rsid w:val="00E028F4"/>
    <w:rsid w:val="00F8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75E9E0"/>
  <w15:chartTrackingRefBased/>
  <w15:docId w15:val="{C5505C20-A5B9-44FF-9185-CEA046286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theme="minorBidi"/>
        <w:sz w:val="22"/>
        <w:szCs w:val="22"/>
        <w:lang w:val="en-A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05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050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E7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6E0A"/>
    <w:pPr>
      <w:ind w:left="720"/>
      <w:contextualSpacing/>
    </w:pPr>
  </w:style>
  <w:style w:type="paragraph" w:styleId="NoSpacing">
    <w:name w:val="No Spacing"/>
    <w:uiPriority w:val="1"/>
    <w:qFormat/>
    <w:rsid w:val="008C7D1F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6D249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95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435E1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4435E1"/>
  </w:style>
  <w:style w:type="paragraph" w:styleId="Footer">
    <w:name w:val="footer"/>
    <w:basedOn w:val="Normal"/>
    <w:link w:val="FooterChar"/>
    <w:uiPriority w:val="99"/>
    <w:unhideWhenUsed/>
    <w:rsid w:val="004435E1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4435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png"/><Relationship Id="rId18" Type="http://schemas.openxmlformats.org/officeDocument/2006/relationships/image" Target="media/image6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nuheara.com/Nuheara-warranty/" TargetMode="External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nuheara.com" TargetMode="External"/><Relationship Id="rId5" Type="http://schemas.openxmlformats.org/officeDocument/2006/relationships/styles" Target="styles.xml"/><Relationship Id="rId15" Type="http://schemas.openxmlformats.org/officeDocument/2006/relationships/image" Target="media/image3.png"/><Relationship Id="rId10" Type="http://schemas.openxmlformats.org/officeDocument/2006/relationships/hyperlink" Target="http://www.nuheara.com/support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2939D3B7A5D04D955B54DDB6029DE6" ma:contentTypeVersion="12" ma:contentTypeDescription="Create a new document." ma:contentTypeScope="" ma:versionID="b8339d3ef7c0daafcac3d4a4c15e68ca">
  <xsd:schema xmlns:xsd="http://www.w3.org/2001/XMLSchema" xmlns:xs="http://www.w3.org/2001/XMLSchema" xmlns:p="http://schemas.microsoft.com/office/2006/metadata/properties" xmlns:ns2="34a33a31-e79f-48b7-9aa1-032cc37837c5" xmlns:ns3="406ef8c2-e54e-4fcb-8f12-4a0267b6f31e" xmlns:ns4="dfd71e5c-6132-4a05-891a-e1f4812e455a" targetNamespace="http://schemas.microsoft.com/office/2006/metadata/properties" ma:root="true" ma:fieldsID="e8800a81ed0dae3c3f73ba2ea4e9f4f7" ns2:_="" ns3:_="" ns4:_="">
    <xsd:import namespace="34a33a31-e79f-48b7-9aa1-032cc37837c5"/>
    <xsd:import namespace="406ef8c2-e54e-4fcb-8f12-4a0267b6f31e"/>
    <xsd:import namespace="dfd71e5c-6132-4a05-891a-e1f4812e455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a33a31-e79f-48b7-9aa1-032cc37837c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6ef8c2-e54e-4fcb-8f12-4a0267b6f31e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d71e5c-6132-4a05-891a-e1f4812e45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975CD0-B4FB-40BF-9DEE-AC72FD1A5A2D}">
  <ds:schemaRefs>
    <ds:schemaRef ds:uri="34a33a31-e79f-48b7-9aa1-032cc37837c5"/>
    <ds:schemaRef ds:uri="http://purl.org/dc/dcmitype/"/>
    <ds:schemaRef ds:uri="http://purl.org/dc/elements/1.1/"/>
    <ds:schemaRef ds:uri="http://schemas.microsoft.com/office/2006/metadata/properties"/>
    <ds:schemaRef ds:uri="406ef8c2-e54e-4fcb-8f12-4a0267b6f31e"/>
    <ds:schemaRef ds:uri="dfd71e5c-6132-4a05-891a-e1f4812e455a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D7D9672-B16D-4DA4-8527-476C94880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a33a31-e79f-48b7-9aa1-032cc37837c5"/>
    <ds:schemaRef ds:uri="406ef8c2-e54e-4fcb-8f12-4a0267b6f31e"/>
    <ds:schemaRef ds:uri="dfd71e5c-6132-4a05-891a-e1f4812e45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82EB84-622F-49B9-A90A-C0382D249F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Buonocore</dc:creator>
  <cp:keywords/>
  <dc:description/>
  <cp:lastModifiedBy>Michelle Anderton</cp:lastModifiedBy>
  <cp:revision>2</cp:revision>
  <cp:lastPrinted>2019-03-07T02:41:00Z</cp:lastPrinted>
  <dcterms:created xsi:type="dcterms:W3CDTF">2019-08-15T05:25:00Z</dcterms:created>
  <dcterms:modified xsi:type="dcterms:W3CDTF">2019-08-15T05:25:00Z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0x010100382939D3B7A5D04D955B54DDB6029DE6</vt:lpwstr>
  </property>
</Properties>
</file>